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052FBF" w14:textId="77777777" w:rsidR="00AD31E6" w:rsidRPr="00AD31E6" w:rsidRDefault="00C93B63" w:rsidP="00C93B63">
      <w:pPr>
        <w:tabs>
          <w:tab w:val="num" w:pos="720"/>
        </w:tabs>
        <w:ind w:left="720" w:hanging="360"/>
        <w:rPr>
          <w:b/>
          <w:bCs/>
          <w:sz w:val="24"/>
          <w:szCs w:val="24"/>
        </w:rPr>
      </w:pPr>
      <w:r w:rsidRPr="00EB6BC7">
        <w:rPr>
          <w:b/>
          <w:bCs/>
          <w:sz w:val="24"/>
          <w:szCs w:val="24"/>
        </w:rPr>
        <w:t>Guidance for Assessment of Effects on Special Landscape Qualities</w:t>
      </w:r>
    </w:p>
    <w:p w14:paraId="3389449F" w14:textId="3AB52FD4" w:rsidR="00AD31E6" w:rsidRPr="00AD31E6" w:rsidRDefault="00AD31E6" w:rsidP="00C93B63">
      <w:pPr>
        <w:tabs>
          <w:tab w:val="num" w:pos="720"/>
        </w:tabs>
        <w:ind w:left="720" w:hanging="360"/>
        <w:rPr>
          <w:b/>
          <w:bCs/>
          <w:sz w:val="24"/>
          <w:szCs w:val="24"/>
        </w:rPr>
      </w:pPr>
      <w:r w:rsidRPr="00AD31E6">
        <w:rPr>
          <w:b/>
          <w:bCs/>
          <w:sz w:val="24"/>
          <w:szCs w:val="24"/>
        </w:rPr>
        <w:t>Response</w:t>
      </w:r>
      <w:r w:rsidR="002E192D">
        <w:rPr>
          <w:b/>
          <w:bCs/>
          <w:sz w:val="24"/>
          <w:szCs w:val="24"/>
        </w:rPr>
        <w:t xml:space="preserve"> from Landscape Institute Scotland</w:t>
      </w:r>
      <w:r w:rsidRPr="00AD31E6">
        <w:rPr>
          <w:b/>
          <w:bCs/>
          <w:sz w:val="24"/>
          <w:szCs w:val="24"/>
        </w:rPr>
        <w:t>, July 2024</w:t>
      </w:r>
    </w:p>
    <w:p w14:paraId="663842EA" w14:textId="77777777" w:rsidR="00DB7806" w:rsidRPr="00C93B63" w:rsidRDefault="00DB7806" w:rsidP="00DB7806">
      <w:pPr>
        <w:pStyle w:val="ListParagraph"/>
      </w:pPr>
    </w:p>
    <w:p w14:paraId="736843C1" w14:textId="1AF689CC" w:rsidR="00C93B63" w:rsidRDefault="00DB7806" w:rsidP="00DB7806">
      <w:pPr>
        <w:pStyle w:val="ListParagraph"/>
        <w:numPr>
          <w:ilvl w:val="0"/>
          <w:numId w:val="3"/>
        </w:numPr>
        <w:tabs>
          <w:tab w:val="num" w:pos="720"/>
        </w:tabs>
        <w:rPr>
          <w:b/>
          <w:bCs/>
        </w:rPr>
      </w:pPr>
      <w:r w:rsidRPr="00DB7806">
        <w:rPr>
          <w:b/>
          <w:bCs/>
        </w:rPr>
        <w:t>Have you used a former draft of the SLQ guidance and if so, for what type of development or land use change?</w:t>
      </w:r>
    </w:p>
    <w:p w14:paraId="35ADB363" w14:textId="77777777" w:rsidR="005F1900" w:rsidRPr="00DB7806" w:rsidRDefault="005F1900" w:rsidP="005F1900">
      <w:pPr>
        <w:pStyle w:val="ListParagraph"/>
        <w:tabs>
          <w:tab w:val="num" w:pos="720"/>
        </w:tabs>
        <w:rPr>
          <w:b/>
          <w:bCs/>
        </w:rPr>
      </w:pPr>
    </w:p>
    <w:p w14:paraId="5B0510D8" w14:textId="63422CED" w:rsidR="007B5411" w:rsidRPr="007B5411" w:rsidRDefault="007B5411" w:rsidP="007B5411">
      <w:pPr>
        <w:pStyle w:val="ListParagraph"/>
        <w:tabs>
          <w:tab w:val="num" w:pos="720"/>
        </w:tabs>
      </w:pPr>
      <w:r>
        <w:t>The Landscape Institute</w:t>
      </w:r>
      <w:r w:rsidRPr="007B5411">
        <w:t xml:space="preserve"> (LI) is the chartered body for the landscape profession</w:t>
      </w:r>
      <w:r w:rsidR="003E3154">
        <w:t xml:space="preserve">, </w:t>
      </w:r>
      <w:r w:rsidRPr="007B5411">
        <w:t>prov</w:t>
      </w:r>
      <w:r w:rsidR="003E3154">
        <w:t>iding</w:t>
      </w:r>
      <w:r w:rsidRPr="007B5411">
        <w:t xml:space="preserve"> a professional home for all landscape practitioners including landscape scientists, landscape planners, landscape architects, landscape managers and urban designers.</w:t>
      </w:r>
    </w:p>
    <w:p w14:paraId="6BC4A883" w14:textId="6C641A5D" w:rsidR="007B5411" w:rsidRDefault="007B5411" w:rsidP="00DB7806">
      <w:pPr>
        <w:pStyle w:val="ListParagraph"/>
        <w:tabs>
          <w:tab w:val="num" w:pos="720"/>
        </w:tabs>
      </w:pPr>
    </w:p>
    <w:p w14:paraId="1451DFD9" w14:textId="69D976FE" w:rsidR="0080169A" w:rsidRDefault="007B5411" w:rsidP="00DB7806">
      <w:pPr>
        <w:pStyle w:val="ListParagraph"/>
        <w:tabs>
          <w:tab w:val="num" w:pos="720"/>
        </w:tabs>
      </w:pPr>
      <w:r>
        <w:t>The LI are r</w:t>
      </w:r>
      <w:r w:rsidR="00DB7806">
        <w:t xml:space="preserve">esponding </w:t>
      </w:r>
      <w:r>
        <w:t xml:space="preserve">to this consultation </w:t>
      </w:r>
      <w:r w:rsidR="00DB7806">
        <w:t xml:space="preserve">on behalf of </w:t>
      </w:r>
      <w:r>
        <w:t xml:space="preserve">our </w:t>
      </w:r>
      <w:r w:rsidR="00DB7806">
        <w:t>members</w:t>
      </w:r>
      <w:r>
        <w:t xml:space="preserve"> in </w:t>
      </w:r>
      <w:r w:rsidR="003E3154">
        <w:t>Scotland</w:t>
      </w:r>
      <w:r w:rsidR="00DB7806">
        <w:t xml:space="preserve">, representing </w:t>
      </w:r>
      <w:r w:rsidR="0080169A">
        <w:t xml:space="preserve">their </w:t>
      </w:r>
      <w:r w:rsidR="00DB7806">
        <w:t>various views</w:t>
      </w:r>
      <w:r w:rsidR="0080169A">
        <w:t xml:space="preserve"> and experiences of using the draft SLQ guidance.</w:t>
      </w:r>
    </w:p>
    <w:p w14:paraId="4323F8BE" w14:textId="77777777" w:rsidR="0080169A" w:rsidRDefault="0080169A" w:rsidP="00DB7806">
      <w:pPr>
        <w:pStyle w:val="ListParagraph"/>
        <w:tabs>
          <w:tab w:val="num" w:pos="720"/>
        </w:tabs>
      </w:pPr>
    </w:p>
    <w:p w14:paraId="7BDA482A" w14:textId="77777777" w:rsidR="0080169A" w:rsidRDefault="0080169A" w:rsidP="00DB7806">
      <w:pPr>
        <w:pStyle w:val="ListParagraph"/>
        <w:tabs>
          <w:tab w:val="num" w:pos="720"/>
        </w:tabs>
      </w:pPr>
    </w:p>
    <w:p w14:paraId="095850A3" w14:textId="6CDA931B" w:rsidR="00DB7806" w:rsidRDefault="00DB7806" w:rsidP="00DB7806">
      <w:pPr>
        <w:pStyle w:val="ListParagraph"/>
        <w:numPr>
          <w:ilvl w:val="0"/>
          <w:numId w:val="3"/>
        </w:numPr>
        <w:rPr>
          <w:b/>
          <w:bCs/>
        </w:rPr>
      </w:pPr>
      <w:r w:rsidRPr="00DB7806">
        <w:rPr>
          <w:b/>
          <w:bCs/>
        </w:rPr>
        <w:t xml:space="preserve">What parts of the guidance do you think work well and would you like to be kept in the final guidance? </w:t>
      </w:r>
    </w:p>
    <w:p w14:paraId="62577A18" w14:textId="096ED185" w:rsidR="00CB64EA" w:rsidRDefault="00CB64EA" w:rsidP="0058028A">
      <w:pPr>
        <w:ind w:left="720"/>
      </w:pPr>
      <w:r>
        <w:t>The LI strongly welcomes the consultation on AESLQs, a</w:t>
      </w:r>
      <w:r w:rsidR="0050597C">
        <w:t>s</w:t>
      </w:r>
      <w:r>
        <w:t xml:space="preserve"> although there has been ‘working draft’ guidance available since November 2018 to </w:t>
      </w:r>
      <w:r w:rsidR="0050597C">
        <w:t xml:space="preserve">guide the LVIA process, this has lacked status. We hope that the final guidance will provide a more robust and widely recognised tool for landscape professionals. </w:t>
      </w:r>
    </w:p>
    <w:p w14:paraId="3E15DF78" w14:textId="4A098006" w:rsidR="0050597C" w:rsidRDefault="0050597C" w:rsidP="00DF7A02">
      <w:pPr>
        <w:ind w:left="720"/>
      </w:pPr>
      <w:r>
        <w:t>We particularly welcome the p</w:t>
      </w:r>
      <w:r w:rsidR="005F1900" w:rsidRPr="005F1900">
        <w:t>roportionate approach to the AESLQ</w:t>
      </w:r>
      <w:r>
        <w:t xml:space="preserve">, which considers the significance </w:t>
      </w:r>
      <w:r w:rsidR="00DF7A02">
        <w:t>and scale of proposed developments, and the potential impact on the landscape</w:t>
      </w:r>
      <w:r w:rsidR="004B760F">
        <w:t xml:space="preserve">. This should ensure that </w:t>
      </w:r>
      <w:r w:rsidR="00DF7A02">
        <w:t>the process</w:t>
      </w:r>
      <w:r w:rsidRPr="0050597C">
        <w:t xml:space="preserve"> is thorough and robust without being overly complex or burdensome</w:t>
      </w:r>
      <w:r w:rsidR="00DF7A02">
        <w:t>.</w:t>
      </w:r>
    </w:p>
    <w:p w14:paraId="0E31CF84" w14:textId="03EA6C66" w:rsidR="0042455E" w:rsidRDefault="00E218A8" w:rsidP="0042455E">
      <w:pPr>
        <w:ind w:left="720"/>
      </w:pPr>
      <w:r>
        <w:t xml:space="preserve">The </w:t>
      </w:r>
      <w:r w:rsidR="0042455E" w:rsidRPr="0042455E">
        <w:t>narrative approach to assessment (as opposed to over reliance on ‘quantitative’ or ‘formulaic’ approach) is</w:t>
      </w:r>
      <w:r>
        <w:t xml:space="preserve"> also</w:t>
      </w:r>
      <w:r w:rsidR="0042455E" w:rsidRPr="0042455E">
        <w:t xml:space="preserve"> welcome and in line with GLVIA. However, GLVIA recognises that LVIA is a combination of qualitative and quantitative / objective </w:t>
      </w:r>
      <w:r w:rsidR="00656902" w:rsidRPr="0042455E">
        <w:t>assessment,</w:t>
      </w:r>
      <w:r w:rsidR="0042455E" w:rsidRPr="0042455E">
        <w:t xml:space="preserve"> and </w:t>
      </w:r>
      <w:r w:rsidR="00656902">
        <w:t xml:space="preserve">we support that </w:t>
      </w:r>
      <w:r w:rsidR="0042455E" w:rsidRPr="0042455E">
        <w:t xml:space="preserve">where appropriate the latter of these </w:t>
      </w:r>
      <w:r>
        <w:t>remains to have</w:t>
      </w:r>
      <w:r w:rsidR="0042455E" w:rsidRPr="0042455E">
        <w:t xml:space="preserve"> a useful place in LVIA and AESLQs.</w:t>
      </w:r>
    </w:p>
    <w:p w14:paraId="5F0A9BBF" w14:textId="7DFDEEC7" w:rsidR="00E218A8" w:rsidRPr="005F1900" w:rsidRDefault="00E218A8" w:rsidP="00E218A8">
      <w:pPr>
        <w:ind w:left="720"/>
      </w:pPr>
      <w:r>
        <w:t xml:space="preserve">We </w:t>
      </w:r>
      <w:r w:rsidR="006A1622">
        <w:t xml:space="preserve">welcome </w:t>
      </w:r>
      <w:r>
        <w:t>this review and look forward to staying updated on the development of the new guidance.</w:t>
      </w:r>
    </w:p>
    <w:p w14:paraId="676F8AF3" w14:textId="77777777" w:rsidR="00DB7806" w:rsidRDefault="00DB7806" w:rsidP="00DB7806">
      <w:pPr>
        <w:pStyle w:val="ListParagraph"/>
        <w:rPr>
          <w:b/>
          <w:bCs/>
        </w:rPr>
      </w:pPr>
    </w:p>
    <w:p w14:paraId="270BCD41" w14:textId="77777777" w:rsidR="00DB7806" w:rsidRDefault="00DB7806" w:rsidP="00DB7806">
      <w:pPr>
        <w:pStyle w:val="ListParagraph"/>
        <w:numPr>
          <w:ilvl w:val="0"/>
          <w:numId w:val="3"/>
        </w:numPr>
        <w:rPr>
          <w:b/>
          <w:bCs/>
        </w:rPr>
      </w:pPr>
      <w:r w:rsidRPr="00DB7806">
        <w:rPr>
          <w:b/>
          <w:bCs/>
        </w:rPr>
        <w:t>When reviewing the guidance how understandable and easy did you find it? Please provide detail highlighting any suggestions or comments you might have including if the guidance strike the right level of detail for the types of project you would use it for.</w:t>
      </w:r>
    </w:p>
    <w:p w14:paraId="7BBD938C" w14:textId="77777777" w:rsidR="005F1900" w:rsidRDefault="005F1900" w:rsidP="005F1900">
      <w:pPr>
        <w:pStyle w:val="ListParagraph"/>
        <w:rPr>
          <w:b/>
          <w:bCs/>
        </w:rPr>
      </w:pPr>
    </w:p>
    <w:p w14:paraId="28E94958" w14:textId="35A19FEE" w:rsidR="00E218A8" w:rsidRDefault="00656902" w:rsidP="005F1900">
      <w:pPr>
        <w:pStyle w:val="ListParagraph"/>
      </w:pPr>
      <w:r>
        <w:t>W</w:t>
      </w:r>
      <w:r w:rsidR="00E218A8">
        <w:t>e appreciate the level of thought and detail that has been included in the guidance and recognise the</w:t>
      </w:r>
      <w:r w:rsidR="00F5176B">
        <w:t xml:space="preserve"> hard </w:t>
      </w:r>
      <w:r w:rsidR="00E218A8">
        <w:t xml:space="preserve">work that has gone into this. </w:t>
      </w:r>
      <w:r>
        <w:t xml:space="preserve">We have included several key points on how we think the guidance could be made clearer however, including how this can be better linked with the wider policy </w:t>
      </w:r>
      <w:r w:rsidR="00F5176B">
        <w:t>agenda.</w:t>
      </w:r>
    </w:p>
    <w:p w14:paraId="1CCAE924" w14:textId="77777777" w:rsidR="00E218A8" w:rsidRDefault="00E218A8" w:rsidP="005F1900">
      <w:pPr>
        <w:pStyle w:val="ListParagraph"/>
      </w:pPr>
    </w:p>
    <w:p w14:paraId="51CD77EC" w14:textId="3A94B54B" w:rsidR="007611D0" w:rsidRDefault="00656902" w:rsidP="007611D0">
      <w:pPr>
        <w:ind w:left="720"/>
      </w:pPr>
      <w:r>
        <w:lastRenderedPageBreak/>
        <w:t xml:space="preserve">As part of </w:t>
      </w:r>
      <w:r w:rsidR="007611D0">
        <w:t>the</w:t>
      </w:r>
      <w:r>
        <w:t xml:space="preserve"> introduction to how th</w:t>
      </w:r>
      <w:r w:rsidR="007611D0">
        <w:t>e</w:t>
      </w:r>
      <w:r>
        <w:t xml:space="preserve"> g</w:t>
      </w:r>
      <w:r w:rsidR="005F1900" w:rsidRPr="005F1900">
        <w:t>uidance</w:t>
      </w:r>
      <w:r>
        <w:t xml:space="preserve"> should be used, i</w:t>
      </w:r>
      <w:r w:rsidR="005F1900" w:rsidRPr="005F1900">
        <w:t xml:space="preserve">t would be useful to </w:t>
      </w:r>
      <w:r>
        <w:t>include a</w:t>
      </w:r>
      <w:r w:rsidR="00F5176B">
        <w:t xml:space="preserve">n overview of the </w:t>
      </w:r>
      <w:r>
        <w:t xml:space="preserve">planning policy and </w:t>
      </w:r>
      <w:r w:rsidR="005F1900" w:rsidRPr="005F1900">
        <w:t>legal framework</w:t>
      </w:r>
      <w:r w:rsidR="00061210">
        <w:t xml:space="preserve"> which will</w:t>
      </w:r>
      <w:r w:rsidR="007611D0">
        <w:t xml:space="preserve"> guide the assessment of special qualities. This </w:t>
      </w:r>
      <w:r w:rsidR="005420D9">
        <w:t>could</w:t>
      </w:r>
      <w:r w:rsidR="007611D0">
        <w:t xml:space="preserve"> include:</w:t>
      </w:r>
    </w:p>
    <w:p w14:paraId="6F607BF1" w14:textId="77777777" w:rsidR="00407630" w:rsidRDefault="00F5176B" w:rsidP="00AE2D0A">
      <w:pPr>
        <w:pStyle w:val="ListParagraph"/>
        <w:numPr>
          <w:ilvl w:val="0"/>
          <w:numId w:val="7"/>
        </w:numPr>
      </w:pPr>
      <w:r>
        <w:t>A description of h</w:t>
      </w:r>
      <w:r w:rsidR="007611D0">
        <w:t xml:space="preserve">ow </w:t>
      </w:r>
      <w:r>
        <w:t>assessments</w:t>
      </w:r>
      <w:r w:rsidR="007611D0">
        <w:t xml:space="preserve"> relate to the National Parks / NSAs and their protection and management</w:t>
      </w:r>
      <w:r>
        <w:t>.</w:t>
      </w:r>
    </w:p>
    <w:p w14:paraId="3671F5CC" w14:textId="77777777" w:rsidR="00407630" w:rsidRDefault="00407630" w:rsidP="00407630">
      <w:pPr>
        <w:pStyle w:val="ListParagraph"/>
        <w:ind w:left="1080"/>
      </w:pPr>
    </w:p>
    <w:p w14:paraId="03A8B517" w14:textId="6988A9D7" w:rsidR="00407630" w:rsidRDefault="00F5176B" w:rsidP="008F54D3">
      <w:pPr>
        <w:pStyle w:val="ListParagraph"/>
        <w:numPr>
          <w:ilvl w:val="0"/>
          <w:numId w:val="7"/>
        </w:numPr>
      </w:pPr>
      <w:r>
        <w:t>R</w:t>
      </w:r>
      <w:r w:rsidR="00C27F86">
        <w:t>eference to r</w:t>
      </w:r>
      <w:r>
        <w:t xml:space="preserve">elevant policies within the </w:t>
      </w:r>
      <w:r w:rsidR="005F1900" w:rsidRPr="005F1900">
        <w:t xml:space="preserve">National Planning Policy (NPF4) </w:t>
      </w:r>
      <w:r w:rsidR="00C27F86">
        <w:t>in relation</w:t>
      </w:r>
      <w:r>
        <w:t xml:space="preserve"> to National Park Plans, and additional </w:t>
      </w:r>
      <w:r w:rsidR="007B1274">
        <w:t xml:space="preserve">relevant </w:t>
      </w:r>
      <w:r>
        <w:t>policies</w:t>
      </w:r>
      <w:r w:rsidR="00C27F86">
        <w:t xml:space="preserve"> in</w:t>
      </w:r>
      <w:r>
        <w:t xml:space="preserve"> adjacent local planning authority areas</w:t>
      </w:r>
      <w:r w:rsidR="007B1274">
        <w:t>, recognising that these will be subject to change</w:t>
      </w:r>
      <w:r>
        <w:t>.</w:t>
      </w:r>
    </w:p>
    <w:p w14:paraId="7A37F537" w14:textId="77777777" w:rsidR="00407630" w:rsidRDefault="00407630" w:rsidP="00407630">
      <w:pPr>
        <w:pStyle w:val="ListParagraph"/>
      </w:pPr>
    </w:p>
    <w:p w14:paraId="3477DF7F" w14:textId="20C02E0E" w:rsidR="005F1900" w:rsidRDefault="00F5176B" w:rsidP="008F54D3">
      <w:pPr>
        <w:pStyle w:val="ListParagraph"/>
        <w:numPr>
          <w:ilvl w:val="0"/>
          <w:numId w:val="7"/>
        </w:numPr>
      </w:pPr>
      <w:r>
        <w:t>G</w:t>
      </w:r>
      <w:r w:rsidR="005F1900" w:rsidRPr="005F1900">
        <w:t xml:space="preserve">uidance on key tests that relate to the statutory duties </w:t>
      </w:r>
      <w:r>
        <w:t>of</w:t>
      </w:r>
      <w:r w:rsidR="005F1900" w:rsidRPr="005F1900">
        <w:t xml:space="preserve"> National Parks / NSA’s and different forms of development, accompanied by some relevant examples. It is </w:t>
      </w:r>
      <w:r w:rsidR="007B1274">
        <w:t>our opinion that</w:t>
      </w:r>
      <w:r w:rsidR="005F1900" w:rsidRPr="005F1900">
        <w:t xml:space="preserve"> the AESLQ </w:t>
      </w:r>
      <w:r w:rsidR="007B1274">
        <w:t>should be</w:t>
      </w:r>
      <w:r w:rsidR="005F1900" w:rsidRPr="005F1900">
        <w:t xml:space="preserve"> restricted to the identification of significant effects </w:t>
      </w:r>
      <w:r w:rsidR="007B1274">
        <w:t>and should not be encouraged to go</w:t>
      </w:r>
      <w:r w:rsidR="005F1900" w:rsidRPr="005F1900">
        <w:t xml:space="preserve"> beyond the scope of EIA and attempt to make</w:t>
      </w:r>
      <w:r w:rsidR="000923F3">
        <w:t xml:space="preserve"> planning</w:t>
      </w:r>
      <w:r w:rsidR="005F1900" w:rsidRPr="005F1900">
        <w:t xml:space="preserve"> judgements on ‘integrity’ </w:t>
      </w:r>
      <w:r w:rsidR="000923F3">
        <w:t xml:space="preserve">‘acceptability’ </w:t>
      </w:r>
      <w:r w:rsidR="005F1900" w:rsidRPr="005F1900">
        <w:t xml:space="preserve">or an ‘alternative policy test’ as </w:t>
      </w:r>
      <w:r w:rsidR="007B1274">
        <w:t xml:space="preserve">appears to be </w:t>
      </w:r>
      <w:r w:rsidR="005F1900" w:rsidRPr="005F1900">
        <w:t>described in the document</w:t>
      </w:r>
      <w:r w:rsidR="005420D9">
        <w:t>.</w:t>
      </w:r>
    </w:p>
    <w:p w14:paraId="56E31517" w14:textId="77777777" w:rsidR="005420D9" w:rsidRDefault="005420D9" w:rsidP="005420D9"/>
    <w:p w14:paraId="32608EE9" w14:textId="4985D19A" w:rsidR="005420D9" w:rsidRDefault="005420D9" w:rsidP="005420D9">
      <w:pPr>
        <w:ind w:left="720"/>
      </w:pPr>
      <w:r>
        <w:t>In terms of making the guidance more understandable, we would also appreciate that the following points are consider</w:t>
      </w:r>
      <w:r w:rsidR="00D01B11">
        <w:t>ed</w:t>
      </w:r>
      <w:r>
        <w:t>:</w:t>
      </w:r>
    </w:p>
    <w:p w14:paraId="6F7A2E43" w14:textId="42425941" w:rsidR="006A1622" w:rsidRDefault="00D01B11" w:rsidP="006A1622">
      <w:pPr>
        <w:pStyle w:val="ListParagraph"/>
        <w:numPr>
          <w:ilvl w:val="0"/>
          <w:numId w:val="7"/>
        </w:numPr>
      </w:pPr>
      <w:r>
        <w:t xml:space="preserve">Additional </w:t>
      </w:r>
      <w:r w:rsidR="006A1622">
        <w:t xml:space="preserve">guidance is needed on </w:t>
      </w:r>
      <w:r w:rsidR="005F1900" w:rsidRPr="005F1900">
        <w:t>how the AESLQ should judge the baseline landscape change and management in a National Park</w:t>
      </w:r>
      <w:r w:rsidR="006A1622">
        <w:t>. It would be useful for example to include</w:t>
      </w:r>
      <w:r w:rsidR="005F1900" w:rsidRPr="005F1900">
        <w:t xml:space="preserve"> plans mapping out areas where it is intended that woodland cover </w:t>
      </w:r>
      <w:r w:rsidR="006A1622">
        <w:t xml:space="preserve">should be </w:t>
      </w:r>
      <w:r w:rsidR="005F1900" w:rsidRPr="005F1900">
        <w:t>increase</w:t>
      </w:r>
      <w:r w:rsidR="006A1622">
        <w:t>d, or</w:t>
      </w:r>
      <w:r w:rsidR="005F1900" w:rsidRPr="005F1900">
        <w:t xml:space="preserve"> moorland be restored</w:t>
      </w:r>
      <w:r w:rsidR="006A1622">
        <w:t>.</w:t>
      </w:r>
    </w:p>
    <w:p w14:paraId="27106067" w14:textId="77777777" w:rsidR="00213127" w:rsidRDefault="00213127" w:rsidP="00213127">
      <w:pPr>
        <w:pStyle w:val="ListParagraph"/>
        <w:ind w:left="1080"/>
      </w:pPr>
    </w:p>
    <w:p w14:paraId="0D909D79" w14:textId="4FD1E9CB" w:rsidR="00213127" w:rsidRDefault="00776FB0" w:rsidP="006713AE">
      <w:pPr>
        <w:pStyle w:val="ListParagraph"/>
        <w:numPr>
          <w:ilvl w:val="0"/>
          <w:numId w:val="7"/>
        </w:numPr>
      </w:pPr>
      <w:r w:rsidRPr="00776FB0">
        <w:t>We agree that the AESLQ draws from the range of material within the LVIA</w:t>
      </w:r>
      <w:r>
        <w:t xml:space="preserve">, adding </w:t>
      </w:r>
      <w:r w:rsidRPr="00776FB0">
        <w:t xml:space="preserve">to </w:t>
      </w:r>
      <w:r>
        <w:t xml:space="preserve">existing knowledge from the LVIA </w:t>
      </w:r>
      <w:r w:rsidRPr="00776FB0">
        <w:t>assessment</w:t>
      </w:r>
      <w:r>
        <w:t xml:space="preserve">, </w:t>
      </w:r>
      <w:r w:rsidRPr="00776FB0">
        <w:t xml:space="preserve">and </w:t>
      </w:r>
      <w:r>
        <w:t>shouldn’t</w:t>
      </w:r>
      <w:r w:rsidRPr="00776FB0">
        <w:t xml:space="preserve"> repeat or ‘double count’ the work of the LVIA</w:t>
      </w:r>
      <w:r>
        <w:t xml:space="preserve">, however in </w:t>
      </w:r>
      <w:r w:rsidR="006A1622">
        <w:t>reference to Fi</w:t>
      </w:r>
      <w:r w:rsidR="005F1900" w:rsidRPr="005F1900">
        <w:t>gure 1</w:t>
      </w:r>
      <w:r w:rsidR="006A1622">
        <w:t xml:space="preserve"> of the guidance,</w:t>
      </w:r>
      <w:r w:rsidR="005F1900" w:rsidRPr="005F1900">
        <w:t xml:space="preserve"> The AESLQ should be considered as part of that overall process or ‘within’ a larger ‘bubble’ on Figure 1 that is LVIA.  </w:t>
      </w:r>
      <w:r w:rsidRPr="00776FB0">
        <w:t xml:space="preserve">LVIA assesses landscape (landscape character, landscape characteristics / elements and features and landscape designations) and visual (views and visual amenity). </w:t>
      </w:r>
      <w:r w:rsidR="005F1900" w:rsidRPr="005F1900">
        <w:t xml:space="preserve">LVIA </w:t>
      </w:r>
      <w:r w:rsidR="006A1622">
        <w:t>should be considered as</w:t>
      </w:r>
      <w:r w:rsidR="005F1900" w:rsidRPr="005F1900">
        <w:t xml:space="preserve"> </w:t>
      </w:r>
      <w:r w:rsidR="007B1274">
        <w:t>the main assessment document</w:t>
      </w:r>
      <w:r w:rsidR="005F1900" w:rsidRPr="005F1900">
        <w:t xml:space="preserve"> of which AESLQ and others </w:t>
      </w:r>
      <w:r w:rsidR="007B1274">
        <w:t xml:space="preserve">such as </w:t>
      </w:r>
      <w:r w:rsidR="007B1274" w:rsidRPr="005F1900">
        <w:t xml:space="preserve">Wild Land Assessment </w:t>
      </w:r>
      <w:r w:rsidR="005F1900" w:rsidRPr="005F1900">
        <w:t>are specialist sub-topics / subject</w:t>
      </w:r>
      <w:r w:rsidR="00213127">
        <w:t>s.</w:t>
      </w:r>
    </w:p>
    <w:p w14:paraId="7FF5E5C6" w14:textId="77777777" w:rsidR="00213127" w:rsidRDefault="00213127" w:rsidP="00213127">
      <w:pPr>
        <w:pStyle w:val="ListParagraph"/>
      </w:pPr>
    </w:p>
    <w:p w14:paraId="1B1D3DFE" w14:textId="6A670751" w:rsidR="007B3994" w:rsidRDefault="00D26B65" w:rsidP="006713AE">
      <w:pPr>
        <w:pStyle w:val="ListParagraph"/>
        <w:numPr>
          <w:ilvl w:val="0"/>
          <w:numId w:val="7"/>
        </w:numPr>
      </w:pPr>
      <w:r>
        <w:t xml:space="preserve">The </w:t>
      </w:r>
      <w:r w:rsidR="00F8636D">
        <w:t>use of the term s</w:t>
      </w:r>
      <w:r w:rsidR="005F1900" w:rsidRPr="005F1900">
        <w:t>ensitivity</w:t>
      </w:r>
      <w:r>
        <w:t xml:space="preserve"> is missing from the guidance and assessment, </w:t>
      </w:r>
      <w:r w:rsidR="00AE3689">
        <w:t>to</w:t>
      </w:r>
      <w:r>
        <w:t xml:space="preserve"> describe</w:t>
      </w:r>
      <w:r w:rsidR="005F1900" w:rsidRPr="005F1900">
        <w:t xml:space="preserve"> a combination of value and susceptibility. It is agreed that the SLQs are likely to be of high value, and that the susceptibility of SLQs to development change will be variable</w:t>
      </w:r>
      <w:r w:rsidR="00AE3689">
        <w:t>, it is however</w:t>
      </w:r>
      <w:r w:rsidR="005F1900" w:rsidRPr="005F1900">
        <w:t xml:space="preserve"> the combination of these that provides a judgement of receptor sensitivity</w:t>
      </w:r>
      <w:r w:rsidR="00AE3689">
        <w:t xml:space="preserve"> (E</w:t>
      </w:r>
      <w:r w:rsidR="005F1900" w:rsidRPr="005F1900">
        <w:t>xplained in narrative terms</w:t>
      </w:r>
      <w:r w:rsidR="00AE3689">
        <w:t>),</w:t>
      </w:r>
      <w:r>
        <w:t xml:space="preserve"> and t</w:t>
      </w:r>
      <w:r w:rsidR="005F1900" w:rsidRPr="005F1900">
        <w:t>his approach is consistent with GLVIA. The AESLQ appears to take account of ‘high value’ at the start of the assessment and then switches to ‘susceptibility’, before</w:t>
      </w:r>
      <w:r>
        <w:t xml:space="preserve"> basing the final consideration on ‘high value’ </w:t>
      </w:r>
      <w:r w:rsidR="005F1900" w:rsidRPr="005F1900">
        <w:t>just prior to determining significance.  No mention of sensitivity is made, and the approach appears to double count ‘high value’</w:t>
      </w:r>
      <w:r w:rsidR="00AE3689">
        <w:t>. The final guidance should ensure that there is more clarity on this point.</w:t>
      </w:r>
      <w:r w:rsidR="007B3994">
        <w:t xml:space="preserve"> </w:t>
      </w:r>
    </w:p>
    <w:p w14:paraId="17D48D8C" w14:textId="77777777" w:rsidR="00D91347" w:rsidRDefault="00D91347" w:rsidP="00D91347">
      <w:pPr>
        <w:pStyle w:val="ListParagraph"/>
      </w:pPr>
    </w:p>
    <w:p w14:paraId="4D8D6861" w14:textId="1CF9EC2D" w:rsidR="00D91347" w:rsidRDefault="00D91347" w:rsidP="00D91347">
      <w:pPr>
        <w:pStyle w:val="ListParagraph"/>
        <w:numPr>
          <w:ilvl w:val="0"/>
          <w:numId w:val="7"/>
        </w:numPr>
      </w:pPr>
      <w:r w:rsidRPr="00D91347">
        <w:lastRenderedPageBreak/>
        <w:t xml:space="preserve">Throughout the guidance there is reference to 'Landscape and visual impacts' </w:t>
      </w:r>
      <w:r>
        <w:t xml:space="preserve">which </w:t>
      </w:r>
      <w:r w:rsidRPr="00D91347">
        <w:t>have very different meanings</w:t>
      </w:r>
      <w:r>
        <w:t>, and it is also unclear how</w:t>
      </w:r>
      <w:r w:rsidRPr="00D91347">
        <w:t xml:space="preserve"> </w:t>
      </w:r>
      <w:r>
        <w:t>l</w:t>
      </w:r>
      <w:r w:rsidRPr="00D91347">
        <w:t xml:space="preserve">andscape </w:t>
      </w:r>
      <w:r>
        <w:t>c</w:t>
      </w:r>
      <w:r w:rsidRPr="00D91347">
        <w:t>haracter</w:t>
      </w:r>
      <w:r>
        <w:t xml:space="preserve"> is defined.</w:t>
      </w:r>
      <w:r w:rsidRPr="00D91347">
        <w:t xml:space="preserve"> It is extremely important that the 'visual' element is considered as only one aspect of both 'landscape' and 'character'</w:t>
      </w:r>
      <w:r>
        <w:t xml:space="preserve">, and recognition is given to the diverse nature of landscape which includes all land and sea, geology, topography, micro-climate, ecosystems and soils. A definition is needed </w:t>
      </w:r>
      <w:r w:rsidR="00503CC3">
        <w:t>which</w:t>
      </w:r>
      <w:r>
        <w:t xml:space="preserve"> r</w:t>
      </w:r>
      <w:r w:rsidR="00503CC3">
        <w:t>eflects</w:t>
      </w:r>
      <w:r>
        <w:t xml:space="preserve"> that landscape c</w:t>
      </w:r>
      <w:r w:rsidRPr="00D91347">
        <w:t xml:space="preserve">haracter is made up of these elements and the way </w:t>
      </w:r>
      <w:r>
        <w:t xml:space="preserve">in which </w:t>
      </w:r>
      <w:r w:rsidRPr="00D91347">
        <w:t xml:space="preserve">humanity has settled on and managed </w:t>
      </w:r>
      <w:r>
        <w:t>them over time</w:t>
      </w:r>
      <w:r w:rsidRPr="00D91347">
        <w:t>.</w:t>
      </w:r>
    </w:p>
    <w:p w14:paraId="311B54A2" w14:textId="77777777" w:rsidR="00213127" w:rsidRDefault="00213127" w:rsidP="00213127">
      <w:pPr>
        <w:pStyle w:val="ListParagraph"/>
        <w:ind w:left="1080"/>
      </w:pPr>
    </w:p>
    <w:p w14:paraId="0E2EB722" w14:textId="48ED3817" w:rsidR="00213127" w:rsidRDefault="00C76601" w:rsidP="00213127">
      <w:pPr>
        <w:pStyle w:val="ListParagraph"/>
        <w:numPr>
          <w:ilvl w:val="0"/>
          <w:numId w:val="7"/>
        </w:numPr>
      </w:pPr>
      <w:r w:rsidRPr="00213127">
        <w:t xml:space="preserve">The draft guidance </w:t>
      </w:r>
      <w:r w:rsidR="00213127">
        <w:t>specifies</w:t>
      </w:r>
      <w:r w:rsidRPr="00213127">
        <w:t xml:space="preserve"> </w:t>
      </w:r>
      <w:r w:rsidRPr="00C76601">
        <w:t>that it is not the ‘number’ of receptors (people) that directly inform the assessment and this approach is consistent with GLVIA</w:t>
      </w:r>
      <w:r w:rsidR="00213127">
        <w:t>, h</w:t>
      </w:r>
      <w:r w:rsidR="00213127" w:rsidRPr="00C76601">
        <w:t>owever</w:t>
      </w:r>
      <w:r w:rsidR="00213127">
        <w:t xml:space="preserve"> it is important</w:t>
      </w:r>
      <w:r w:rsidRPr="00C76601">
        <w:t xml:space="preserve"> to separate landscape and visual assessment. </w:t>
      </w:r>
      <w:r w:rsidR="00213127">
        <w:t>Factors</w:t>
      </w:r>
      <w:r w:rsidRPr="00C76601">
        <w:t xml:space="preserve"> that relate to value and susceptibility (combined to provide a judgement on sensitivity) are different for landscape receptors and visual receptors</w:t>
      </w:r>
      <w:r w:rsidR="00213127">
        <w:t>, and also</w:t>
      </w:r>
      <w:r w:rsidRPr="00C76601">
        <w:t xml:space="preserve"> vary when experienced at night.</w:t>
      </w:r>
    </w:p>
    <w:p w14:paraId="319DD125" w14:textId="77777777" w:rsidR="00213127" w:rsidRDefault="00213127" w:rsidP="00213127">
      <w:pPr>
        <w:pStyle w:val="ListParagraph"/>
      </w:pPr>
    </w:p>
    <w:p w14:paraId="02206021" w14:textId="4B9730CC" w:rsidR="00C76601" w:rsidRDefault="007B3994" w:rsidP="00336520">
      <w:pPr>
        <w:pStyle w:val="ListParagraph"/>
        <w:numPr>
          <w:ilvl w:val="0"/>
          <w:numId w:val="7"/>
        </w:numPr>
      </w:pPr>
      <w:r>
        <w:t xml:space="preserve">The </w:t>
      </w:r>
      <w:r w:rsidR="00371E96">
        <w:t>issue</w:t>
      </w:r>
      <w:r>
        <w:t xml:space="preserve"> of </w:t>
      </w:r>
      <w:r w:rsidR="00371E96">
        <w:t>‘s</w:t>
      </w:r>
      <w:r w:rsidR="005F1900" w:rsidRPr="005F1900">
        <w:t>cope</w:t>
      </w:r>
      <w:r w:rsidR="00371E96">
        <w:t>’</w:t>
      </w:r>
      <w:r>
        <w:t xml:space="preserve"> could be </w:t>
      </w:r>
      <w:r w:rsidR="00371E96">
        <w:t xml:space="preserve">made </w:t>
      </w:r>
      <w:r>
        <w:t>clearer</w:t>
      </w:r>
      <w:r w:rsidR="005F1900" w:rsidRPr="005F1900">
        <w:t xml:space="preserve"> </w:t>
      </w:r>
      <w:r w:rsidR="00407630">
        <w:t>within the guidance;</w:t>
      </w:r>
      <w:r w:rsidR="005F1900" w:rsidRPr="005F1900">
        <w:t xml:space="preserve"> Developments within a N</w:t>
      </w:r>
      <w:r>
        <w:t>ational Park</w:t>
      </w:r>
      <w:r w:rsidR="005F1900" w:rsidRPr="005F1900">
        <w:t xml:space="preserve"> / NSA appear to only require assessment that covers the whole or part of the designation, but not to extend beyond its boundary; whereas development beyond the boundary will “only extend to the boundary of the NSA or NP”</w:t>
      </w:r>
      <w:r w:rsidR="00407630">
        <w:t xml:space="preserve"> (P</w:t>
      </w:r>
      <w:r w:rsidR="005F1900" w:rsidRPr="005F1900">
        <w:t>resumably the area within the NP / NSA boundary</w:t>
      </w:r>
      <w:r w:rsidR="00407630">
        <w:t>).</w:t>
      </w:r>
      <w:r w:rsidR="005F1900" w:rsidRPr="005F1900">
        <w:t xml:space="preserve"> </w:t>
      </w:r>
      <w:r>
        <w:t>As the</w:t>
      </w:r>
      <w:r w:rsidR="005F1900" w:rsidRPr="005F1900">
        <w:t xml:space="preserve"> “assessment must consider the contribution of the landscape beyond the boundary, where it influences the experience of the SLQs”</w:t>
      </w:r>
      <w:r>
        <w:t xml:space="preserve">, it is not clear whether </w:t>
      </w:r>
      <w:r w:rsidR="005F1900" w:rsidRPr="005F1900">
        <w:t>this latter requirement only appl</w:t>
      </w:r>
      <w:r>
        <w:t>ies</w:t>
      </w:r>
      <w:r w:rsidR="005F1900" w:rsidRPr="005F1900">
        <w:t xml:space="preserve"> to development outside the NP / NSA</w:t>
      </w:r>
      <w:r w:rsidR="00DA26E5">
        <w:t xml:space="preserve"> and whether there are different levels of testing required</w:t>
      </w:r>
      <w:r w:rsidR="00407630">
        <w:t xml:space="preserve">. We would appreciate more clarity on this point. </w:t>
      </w:r>
    </w:p>
    <w:p w14:paraId="3A6C17D5" w14:textId="77777777" w:rsidR="00C76601" w:rsidRDefault="00C76601" w:rsidP="00C76601">
      <w:pPr>
        <w:pStyle w:val="ListParagraph"/>
        <w:ind w:left="1080"/>
      </w:pPr>
    </w:p>
    <w:p w14:paraId="0A79CE57" w14:textId="5C85C495" w:rsidR="002B5230" w:rsidRDefault="00407630" w:rsidP="00485A4E">
      <w:pPr>
        <w:pStyle w:val="ListParagraph"/>
        <w:numPr>
          <w:ilvl w:val="0"/>
          <w:numId w:val="7"/>
        </w:numPr>
      </w:pPr>
      <w:r w:rsidRPr="00407630">
        <w:t>It would be useful to have a brief guide to consultation</w:t>
      </w:r>
      <w:r>
        <w:t xml:space="preserve"> to support discussions with consultees around the study area, viewpoints and sequential routes</w:t>
      </w:r>
      <w:r w:rsidR="002B5230">
        <w:t>,</w:t>
      </w:r>
      <w:r>
        <w:t xml:space="preserve"> which should be agreed</w:t>
      </w:r>
      <w:r w:rsidR="002B5230">
        <w:t xml:space="preserve"> and given reasonable justification, particularly for routes outside the designation. It would be helpful to include guidance on which questions should be asked, and on whether there should be </w:t>
      </w:r>
      <w:r w:rsidRPr="00407630">
        <w:t>a meeting to discuss the scope and later the preliminary assessment</w:t>
      </w:r>
      <w:r w:rsidR="002B5230">
        <w:t>.</w:t>
      </w:r>
    </w:p>
    <w:p w14:paraId="7DEDA1FD" w14:textId="77777777" w:rsidR="002B5230" w:rsidRDefault="002B5230" w:rsidP="002B5230">
      <w:pPr>
        <w:pStyle w:val="ListParagraph"/>
      </w:pPr>
    </w:p>
    <w:p w14:paraId="54C056BF" w14:textId="77777777" w:rsidR="009B33CB" w:rsidRDefault="002B5230" w:rsidP="0093701F">
      <w:pPr>
        <w:pStyle w:val="ListParagraph"/>
        <w:numPr>
          <w:ilvl w:val="0"/>
          <w:numId w:val="7"/>
        </w:numPr>
      </w:pPr>
      <w:r>
        <w:t>We agree</w:t>
      </w:r>
      <w:r w:rsidR="00F517CB" w:rsidRPr="00F517CB">
        <w:t xml:space="preserve"> that “it is the key landscape characteristics</w:t>
      </w:r>
      <w:r>
        <w:t>”</w:t>
      </w:r>
      <w:r w:rsidR="00F517CB" w:rsidRPr="00F517CB">
        <w:t xml:space="preserve"> that need to be drawn out in relation to SLQs, not individual landscape character types or areas. </w:t>
      </w:r>
      <w:r w:rsidR="00161611">
        <w:t>We would however recommend</w:t>
      </w:r>
      <w:r>
        <w:t xml:space="preserve"> </w:t>
      </w:r>
      <w:r w:rsidR="00161611">
        <w:t>adding “</w:t>
      </w:r>
      <w:r w:rsidR="00F517CB" w:rsidRPr="00F517CB">
        <w:t>landscape elements or features”</w:t>
      </w:r>
      <w:r w:rsidR="00161611">
        <w:t xml:space="preserve"> in the description of “landscape characteristics” for more clarity</w:t>
      </w:r>
      <w:r w:rsidR="009B33CB">
        <w:t>.</w:t>
      </w:r>
    </w:p>
    <w:p w14:paraId="71CCC190" w14:textId="77777777" w:rsidR="009B33CB" w:rsidRDefault="009B33CB" w:rsidP="009B33CB">
      <w:pPr>
        <w:pStyle w:val="ListParagraph"/>
      </w:pPr>
    </w:p>
    <w:p w14:paraId="3A308B05" w14:textId="5C6903F8" w:rsidR="002F062E" w:rsidRDefault="00503CC3" w:rsidP="00503CC3">
      <w:pPr>
        <w:pStyle w:val="ListParagraph"/>
        <w:numPr>
          <w:ilvl w:val="0"/>
          <w:numId w:val="7"/>
        </w:numPr>
      </w:pPr>
      <w:r>
        <w:t>Care needs to be taken around the a</w:t>
      </w:r>
      <w:r w:rsidR="004774AB" w:rsidRPr="004774AB">
        <w:t>ssessment of effects, mitigation and significance</w:t>
      </w:r>
      <w:r w:rsidR="004C30E6">
        <w:t>, f</w:t>
      </w:r>
      <w:r w:rsidR="000D0C82">
        <w:t>or example,</w:t>
      </w:r>
      <w:r>
        <w:t xml:space="preserve"> </w:t>
      </w:r>
      <w:r w:rsidR="000D0C82">
        <w:t>e</w:t>
      </w:r>
      <w:r w:rsidR="004774AB" w:rsidRPr="004774AB">
        <w:t xml:space="preserve">ach component of magnitude / nature of change should be set out clearly before a final assessment of magnitude or nature of effect and significance is made. </w:t>
      </w:r>
    </w:p>
    <w:p w14:paraId="735221A5" w14:textId="77777777" w:rsidR="002F062E" w:rsidRDefault="002F062E" w:rsidP="002F062E">
      <w:pPr>
        <w:pStyle w:val="ListParagraph"/>
      </w:pPr>
    </w:p>
    <w:p w14:paraId="4B484919" w14:textId="77672157" w:rsidR="006A5A2B" w:rsidRPr="000A6FD7" w:rsidRDefault="000A6FD7" w:rsidP="00120812">
      <w:pPr>
        <w:pStyle w:val="ListParagraph"/>
        <w:numPr>
          <w:ilvl w:val="0"/>
          <w:numId w:val="7"/>
        </w:numPr>
      </w:pPr>
      <w:r>
        <w:t>More of an explanation is need for t</w:t>
      </w:r>
      <w:r w:rsidR="002F062E" w:rsidRPr="000A6FD7">
        <w:t>he example</w:t>
      </w:r>
      <w:r>
        <w:t xml:space="preserve"> given</w:t>
      </w:r>
      <w:r w:rsidR="002F062E" w:rsidRPr="000A6FD7">
        <w:t xml:space="preserve"> in Figure 3</w:t>
      </w:r>
      <w:r>
        <w:t xml:space="preserve"> of the guidance, which</w:t>
      </w:r>
      <w:r w:rsidR="002F062E" w:rsidRPr="000A6FD7">
        <w:t xml:space="preserve"> shows development that perhaps significantly affects a small part of a scenic route along a coast. The guidance appears to imply that the visual effect has been so significant it affects the whole of the route even if it cannot view the proposed development</w:t>
      </w:r>
      <w:r>
        <w:t xml:space="preserve">. It would be useful to highlight examples for the reasoning behind this, </w:t>
      </w:r>
      <w:r>
        <w:lastRenderedPageBreak/>
        <w:t xml:space="preserve">does </w:t>
      </w:r>
      <w:r w:rsidR="002F062E" w:rsidRPr="000A6FD7">
        <w:t xml:space="preserve">the affected part of the route includes a particular feature or view that elevates its importance and ability to affect the route as a whole? </w:t>
      </w:r>
      <w:r>
        <w:t>Does the development mean that</w:t>
      </w:r>
      <w:r w:rsidR="002F062E" w:rsidRPr="000A6FD7">
        <w:t xml:space="preserve"> walkers might not reach this </w:t>
      </w:r>
      <w:r w:rsidRPr="000A6FD7">
        <w:t>point,</w:t>
      </w:r>
      <w:r w:rsidR="002F062E" w:rsidRPr="000A6FD7">
        <w:t xml:space="preserve"> or</w:t>
      </w:r>
      <w:r>
        <w:t xml:space="preserve"> that their experience is impacted on by</w:t>
      </w:r>
      <w:r w:rsidR="002F062E" w:rsidRPr="000A6FD7">
        <w:t xml:space="preserve"> the development</w:t>
      </w:r>
      <w:r>
        <w:t xml:space="preserve">? Does </w:t>
      </w:r>
      <w:r w:rsidR="002F062E" w:rsidRPr="000A6FD7">
        <w:t>that part of the route overlap with a section that has alternative routes or lacks in a particular SQ</w:t>
      </w:r>
      <w:r w:rsidRPr="000A6FD7">
        <w:t>?</w:t>
      </w:r>
      <w:r w:rsidR="002F062E" w:rsidRPr="002F062E">
        <w:rPr>
          <w:color w:val="FF0000"/>
        </w:rPr>
        <w:t xml:space="preserve"> </w:t>
      </w:r>
      <w:r>
        <w:t>An</w:t>
      </w:r>
      <w:r w:rsidR="002F062E" w:rsidRPr="000A6FD7">
        <w:t xml:space="preserve"> assessment that concludes only a small part of the route is affected, risks missing the wider importance or judgement on integrity that could be relevant to seemingly small geographical areas of effect.</w:t>
      </w:r>
    </w:p>
    <w:p w14:paraId="170F006E" w14:textId="77777777" w:rsidR="002F062E" w:rsidRDefault="002F062E" w:rsidP="002F062E">
      <w:pPr>
        <w:pStyle w:val="ListParagraph"/>
      </w:pPr>
    </w:p>
    <w:p w14:paraId="720A7A9E" w14:textId="77777777" w:rsidR="002F062E" w:rsidRPr="00AC01A8" w:rsidRDefault="002F062E" w:rsidP="002F062E">
      <w:pPr>
        <w:pStyle w:val="ListParagraph"/>
        <w:ind w:left="1080"/>
      </w:pPr>
    </w:p>
    <w:p w14:paraId="53F0B452" w14:textId="77777777" w:rsidR="00DB7806" w:rsidRDefault="00DB7806" w:rsidP="00DB7806">
      <w:pPr>
        <w:pStyle w:val="ListParagraph"/>
        <w:numPr>
          <w:ilvl w:val="0"/>
          <w:numId w:val="3"/>
        </w:numPr>
        <w:rPr>
          <w:b/>
          <w:bCs/>
        </w:rPr>
      </w:pPr>
      <w:r w:rsidRPr="00DB7806">
        <w:rPr>
          <w:b/>
          <w:bCs/>
        </w:rPr>
        <w:t>Do you find the template in the Annex useful? Yes / No</w:t>
      </w:r>
    </w:p>
    <w:p w14:paraId="640F874D" w14:textId="35162908" w:rsidR="00F517CB" w:rsidRPr="00F517CB" w:rsidRDefault="00F517CB" w:rsidP="00F517CB">
      <w:pPr>
        <w:pStyle w:val="ListParagraph"/>
      </w:pPr>
      <w:r w:rsidRPr="00F517CB">
        <w:t>Yes</w:t>
      </w:r>
      <w:r>
        <w:t xml:space="preserve">, </w:t>
      </w:r>
      <w:r w:rsidR="00D01B11">
        <w:t>it is useful that a template has been provided to bring the guidance together in a useable format, however flexibility should be given as to how this template is used as it may not be a “One size fits all” tool, especially for more complex assessments.</w:t>
      </w:r>
    </w:p>
    <w:p w14:paraId="03B72A88" w14:textId="77777777" w:rsidR="00DB7806" w:rsidRPr="00DB7806" w:rsidRDefault="00DB7806" w:rsidP="00DB7806">
      <w:pPr>
        <w:pStyle w:val="ListParagraph"/>
        <w:rPr>
          <w:b/>
          <w:bCs/>
        </w:rPr>
      </w:pPr>
    </w:p>
    <w:p w14:paraId="72500AB1" w14:textId="77777777" w:rsidR="00DB7806" w:rsidRPr="00DB7806" w:rsidRDefault="00DB7806" w:rsidP="00DB7806">
      <w:pPr>
        <w:pStyle w:val="ListParagraph"/>
        <w:rPr>
          <w:b/>
          <w:bCs/>
        </w:rPr>
      </w:pPr>
    </w:p>
    <w:p w14:paraId="69021A5F" w14:textId="77777777" w:rsidR="00DB7806" w:rsidRDefault="00DB7806" w:rsidP="00DB7806">
      <w:pPr>
        <w:pStyle w:val="ListParagraph"/>
        <w:numPr>
          <w:ilvl w:val="0"/>
          <w:numId w:val="3"/>
        </w:numPr>
        <w:rPr>
          <w:b/>
          <w:bCs/>
        </w:rPr>
      </w:pPr>
      <w:r w:rsidRPr="00DB7806">
        <w:rPr>
          <w:b/>
          <w:bCs/>
        </w:rPr>
        <w:t xml:space="preserve">Is there anything included that you think could be unnecessary? </w:t>
      </w:r>
    </w:p>
    <w:p w14:paraId="12FC3A55" w14:textId="77777777" w:rsidR="001D4C3D" w:rsidRDefault="001D4C3D" w:rsidP="001D4C3D">
      <w:pPr>
        <w:pStyle w:val="ListParagraph"/>
        <w:rPr>
          <w:b/>
          <w:bCs/>
        </w:rPr>
      </w:pPr>
    </w:p>
    <w:p w14:paraId="1340AFBB" w14:textId="65FDC4C4" w:rsidR="0042455E" w:rsidRPr="005F1900" w:rsidRDefault="001D4C3D" w:rsidP="001D4C3D">
      <w:pPr>
        <w:pStyle w:val="ListParagraph"/>
        <w:numPr>
          <w:ilvl w:val="0"/>
          <w:numId w:val="7"/>
        </w:numPr>
      </w:pPr>
      <w:r>
        <w:t>S</w:t>
      </w:r>
      <w:r w:rsidR="0042455E" w:rsidRPr="0042455E">
        <w:t xml:space="preserve">tep 4 </w:t>
      </w:r>
      <w:r>
        <w:t xml:space="preserve">of the process in the guidance </w:t>
      </w:r>
      <w:r w:rsidR="0042455E" w:rsidRPr="0042455E">
        <w:t>rightly provides a summary of significant effects</w:t>
      </w:r>
      <w:r>
        <w:t>, however t</w:t>
      </w:r>
      <w:r w:rsidR="0042455E" w:rsidRPr="0042455E">
        <w:t xml:space="preserve">he AESLQs should not extend beyond this into assessments of ‘integrity’ / ‘overall integrity’ </w:t>
      </w:r>
      <w:r w:rsidR="000923F3">
        <w:t xml:space="preserve">‘acceptability’ </w:t>
      </w:r>
      <w:r w:rsidR="0042455E" w:rsidRPr="0042455E">
        <w:t xml:space="preserve">or whether a designation / SLQ has been ‘compromised’. The short description </w:t>
      </w:r>
      <w:r>
        <w:t>and</w:t>
      </w:r>
      <w:r w:rsidR="0042455E" w:rsidRPr="0042455E">
        <w:t xml:space="preserve"> explanation of this complex process is not sufficient and does not appear to be supported by wider planning</w:t>
      </w:r>
      <w:r>
        <w:t xml:space="preserve">, </w:t>
      </w:r>
      <w:r w:rsidR="0042455E" w:rsidRPr="0042455E">
        <w:t>legal policy advice or methodology</w:t>
      </w:r>
      <w:r>
        <w:t>.</w:t>
      </w:r>
      <w:r w:rsidR="0042455E" w:rsidRPr="0042455E">
        <w:t xml:space="preserve"> </w:t>
      </w:r>
      <w:r>
        <w:t>We would strongly s</w:t>
      </w:r>
      <w:r w:rsidR="0042455E" w:rsidRPr="0042455E">
        <w:t>uggest that this is either removed</w:t>
      </w:r>
      <w:r>
        <w:t>,</w:t>
      </w:r>
      <w:r w:rsidR="0042455E" w:rsidRPr="0042455E">
        <w:t xml:space="preserve"> or a clear explanation is </w:t>
      </w:r>
      <w:r>
        <w:t xml:space="preserve">included to specify </w:t>
      </w:r>
      <w:r w:rsidR="0042455E" w:rsidRPr="0042455E">
        <w:t>that this part of the process falls beyond the scope of the AESLQ.</w:t>
      </w:r>
    </w:p>
    <w:p w14:paraId="187315D6" w14:textId="77777777" w:rsidR="00DB7806" w:rsidRDefault="00DB7806" w:rsidP="00DB7806">
      <w:pPr>
        <w:pStyle w:val="ListParagraph"/>
        <w:rPr>
          <w:b/>
          <w:bCs/>
        </w:rPr>
      </w:pPr>
    </w:p>
    <w:p w14:paraId="72930E1A" w14:textId="77777777" w:rsidR="00DB7806" w:rsidRPr="00DB7806" w:rsidRDefault="00DB7806" w:rsidP="00DB7806">
      <w:pPr>
        <w:pStyle w:val="ListParagraph"/>
        <w:rPr>
          <w:b/>
          <w:bCs/>
        </w:rPr>
      </w:pPr>
    </w:p>
    <w:p w14:paraId="453873D0" w14:textId="3FE255CB" w:rsidR="00DB7806" w:rsidRPr="00DB7806" w:rsidRDefault="00DB7806" w:rsidP="00DB7806">
      <w:pPr>
        <w:pStyle w:val="ListParagraph"/>
        <w:numPr>
          <w:ilvl w:val="0"/>
          <w:numId w:val="3"/>
        </w:numPr>
        <w:rPr>
          <w:b/>
          <w:bCs/>
        </w:rPr>
      </w:pPr>
      <w:r w:rsidRPr="00DB7806">
        <w:rPr>
          <w:b/>
          <w:bCs/>
        </w:rPr>
        <w:t xml:space="preserve">Is there anything missing that you would like to see covered? </w:t>
      </w:r>
    </w:p>
    <w:p w14:paraId="7581A308" w14:textId="77777777" w:rsidR="00DB7806" w:rsidRDefault="00DB7806" w:rsidP="00DB7806">
      <w:pPr>
        <w:pStyle w:val="ListParagraph"/>
        <w:tabs>
          <w:tab w:val="num" w:pos="720"/>
        </w:tabs>
      </w:pPr>
    </w:p>
    <w:p w14:paraId="307FC665" w14:textId="77777777" w:rsidR="00025B8C" w:rsidRDefault="00025B8C" w:rsidP="00DE5C44">
      <w:pPr>
        <w:spacing w:line="256" w:lineRule="auto"/>
        <w:ind w:left="720"/>
        <w:contextualSpacing/>
        <w:rPr>
          <w:rFonts w:ascii="Aptos" w:eastAsia="Aptos" w:hAnsi="Aptos" w:cs="Times New Roman"/>
        </w:rPr>
      </w:pPr>
      <w:r>
        <w:rPr>
          <w:rFonts w:ascii="Aptos" w:eastAsia="Aptos" w:hAnsi="Aptos" w:cs="Times New Roman"/>
        </w:rPr>
        <w:t>We would recommend the following points are included in the guidance:</w:t>
      </w:r>
    </w:p>
    <w:p w14:paraId="6DB2C229" w14:textId="1C25A3E8" w:rsidR="00A353CA" w:rsidRDefault="00BF3BB6" w:rsidP="00BF3BB6">
      <w:pPr>
        <w:pStyle w:val="ListParagraph"/>
        <w:numPr>
          <w:ilvl w:val="0"/>
          <w:numId w:val="7"/>
        </w:numPr>
        <w:spacing w:line="256" w:lineRule="auto"/>
        <w:rPr>
          <w:rFonts w:ascii="Aptos" w:eastAsia="Aptos" w:hAnsi="Aptos" w:cs="Times New Roman"/>
        </w:rPr>
      </w:pPr>
      <w:r w:rsidRPr="00BF3BB6">
        <w:rPr>
          <w:rFonts w:ascii="Aptos" w:eastAsia="Aptos" w:hAnsi="Aptos" w:cs="Times New Roman"/>
        </w:rPr>
        <w:t>When considering the p</w:t>
      </w:r>
      <w:r w:rsidR="00DE5C44" w:rsidRPr="00BF3BB6">
        <w:rPr>
          <w:rFonts w:ascii="Aptos" w:eastAsia="Aptos" w:hAnsi="Aptos" w:cs="Times New Roman"/>
        </w:rPr>
        <w:t>urpose of document</w:t>
      </w:r>
      <w:r w:rsidRPr="00BF3BB6">
        <w:rPr>
          <w:rFonts w:ascii="Aptos" w:eastAsia="Aptos" w:hAnsi="Aptos" w:cs="Times New Roman"/>
        </w:rPr>
        <w:t>, we would recommend</w:t>
      </w:r>
      <w:r w:rsidR="00DE5C44" w:rsidRPr="00BF3BB6">
        <w:rPr>
          <w:rFonts w:ascii="Aptos" w:eastAsia="Aptos" w:hAnsi="Aptos" w:cs="Times New Roman"/>
        </w:rPr>
        <w:t xml:space="preserve"> consider</w:t>
      </w:r>
      <w:r w:rsidRPr="00BF3BB6">
        <w:rPr>
          <w:rFonts w:ascii="Aptos" w:eastAsia="Aptos" w:hAnsi="Aptos" w:cs="Times New Roman"/>
        </w:rPr>
        <w:t xml:space="preserve">ing </w:t>
      </w:r>
      <w:r w:rsidR="00DE5C44" w:rsidRPr="00BF3BB6">
        <w:rPr>
          <w:rFonts w:ascii="Aptos" w:eastAsia="Aptos" w:hAnsi="Aptos" w:cs="Times New Roman"/>
        </w:rPr>
        <w:t>widening the scope</w:t>
      </w:r>
      <w:r w:rsidRPr="00BF3BB6">
        <w:rPr>
          <w:rFonts w:ascii="Aptos" w:eastAsia="Aptos" w:hAnsi="Aptos" w:cs="Times New Roman"/>
        </w:rPr>
        <w:t xml:space="preserve"> of the guidance</w:t>
      </w:r>
      <w:r w:rsidR="00DE5C44" w:rsidRPr="00BF3BB6">
        <w:rPr>
          <w:rFonts w:ascii="Aptos" w:eastAsia="Aptos" w:hAnsi="Aptos" w:cs="Times New Roman"/>
        </w:rPr>
        <w:t xml:space="preserve"> to cover locally designated landscapes, or</w:t>
      </w:r>
      <w:r w:rsidRPr="00BF3BB6">
        <w:rPr>
          <w:rFonts w:ascii="Aptos" w:eastAsia="Aptos" w:hAnsi="Aptos" w:cs="Times New Roman"/>
        </w:rPr>
        <w:t xml:space="preserve"> to</w:t>
      </w:r>
      <w:r w:rsidR="00DE5C44" w:rsidRPr="00BF3BB6">
        <w:rPr>
          <w:rFonts w:ascii="Aptos" w:eastAsia="Aptos" w:hAnsi="Aptos" w:cs="Times New Roman"/>
        </w:rPr>
        <w:t xml:space="preserve"> at least allow use of this guidance in those circumstances where it can be agreed as suitable with the local planning authority</w:t>
      </w:r>
      <w:r w:rsidRPr="00BF3BB6">
        <w:rPr>
          <w:rFonts w:ascii="Aptos" w:eastAsia="Aptos" w:hAnsi="Aptos" w:cs="Times New Roman"/>
        </w:rPr>
        <w:t xml:space="preserve">. </w:t>
      </w:r>
    </w:p>
    <w:p w14:paraId="6C737AD8" w14:textId="2034E4DB" w:rsidR="00BF3BB6" w:rsidRDefault="00A353CA" w:rsidP="00BF3BB6">
      <w:pPr>
        <w:pStyle w:val="ListParagraph"/>
        <w:numPr>
          <w:ilvl w:val="0"/>
          <w:numId w:val="7"/>
        </w:numPr>
        <w:spacing w:line="256" w:lineRule="auto"/>
        <w:rPr>
          <w:rFonts w:ascii="Aptos" w:eastAsia="Aptos" w:hAnsi="Aptos" w:cs="Times New Roman"/>
        </w:rPr>
      </w:pPr>
      <w:r>
        <w:rPr>
          <w:rFonts w:ascii="Aptos" w:eastAsia="Aptos" w:hAnsi="Aptos" w:cs="Times New Roman"/>
        </w:rPr>
        <w:t xml:space="preserve">Will NatureScot be considering guidance for assessment of </w:t>
      </w:r>
      <w:r w:rsidR="00DE5C44" w:rsidRPr="00BF3BB6">
        <w:rPr>
          <w:rFonts w:ascii="Aptos" w:eastAsia="Aptos" w:hAnsi="Aptos" w:cs="Times New Roman"/>
        </w:rPr>
        <w:t>Scotland’s Great Trails</w:t>
      </w:r>
      <w:r w:rsidR="004C30E6">
        <w:rPr>
          <w:rFonts w:ascii="Aptos" w:eastAsia="Aptos" w:hAnsi="Aptos" w:cs="Times New Roman"/>
        </w:rPr>
        <w:t>?</w:t>
      </w:r>
    </w:p>
    <w:p w14:paraId="1F7E7FD8" w14:textId="77777777" w:rsidR="00BF3BB6" w:rsidRDefault="00BF3BB6" w:rsidP="00BF3BB6">
      <w:pPr>
        <w:pStyle w:val="ListParagraph"/>
        <w:spacing w:line="256" w:lineRule="auto"/>
        <w:ind w:left="1080"/>
        <w:rPr>
          <w:rFonts w:ascii="Aptos" w:eastAsia="Aptos" w:hAnsi="Aptos" w:cs="Times New Roman"/>
        </w:rPr>
      </w:pPr>
    </w:p>
    <w:p w14:paraId="43AE14F3" w14:textId="77777777" w:rsidR="00BE3603" w:rsidRDefault="00BE3603" w:rsidP="00BE3603">
      <w:pPr>
        <w:pStyle w:val="ListParagraph"/>
        <w:numPr>
          <w:ilvl w:val="0"/>
          <w:numId w:val="7"/>
        </w:numPr>
        <w:spacing w:line="256" w:lineRule="auto"/>
        <w:rPr>
          <w:rFonts w:ascii="Aptos" w:eastAsia="Aptos" w:hAnsi="Aptos" w:cs="Times New Roman"/>
        </w:rPr>
      </w:pPr>
      <w:r>
        <w:rPr>
          <w:rFonts w:ascii="Aptos" w:eastAsia="Aptos" w:hAnsi="Aptos" w:cs="Times New Roman"/>
        </w:rPr>
        <w:t>The</w:t>
      </w:r>
      <w:r w:rsidR="00DE5C44" w:rsidRPr="00BF3BB6">
        <w:rPr>
          <w:rFonts w:ascii="Aptos" w:eastAsia="Aptos" w:hAnsi="Aptos" w:cs="Times New Roman"/>
        </w:rPr>
        <w:t xml:space="preserve"> use of a more extensive glossary</w:t>
      </w:r>
      <w:r>
        <w:rPr>
          <w:rFonts w:ascii="Aptos" w:eastAsia="Aptos" w:hAnsi="Aptos" w:cs="Times New Roman"/>
        </w:rPr>
        <w:t xml:space="preserve"> would be beneficial, </w:t>
      </w:r>
      <w:r w:rsidR="00DE5C44" w:rsidRPr="00BF3BB6">
        <w:rPr>
          <w:rFonts w:ascii="Aptos" w:eastAsia="Aptos" w:hAnsi="Aptos" w:cs="Times New Roman"/>
        </w:rPr>
        <w:t>even if only to confirm common acceptable of terms used by GLVIA</w:t>
      </w:r>
      <w:r>
        <w:rPr>
          <w:rFonts w:ascii="Aptos" w:eastAsia="Aptos" w:hAnsi="Aptos" w:cs="Times New Roman"/>
        </w:rPr>
        <w:t xml:space="preserve">. </w:t>
      </w:r>
      <w:r w:rsidR="00DE5C44" w:rsidRPr="00BF3BB6">
        <w:rPr>
          <w:rFonts w:ascii="Aptos" w:eastAsia="Aptos" w:hAnsi="Aptos" w:cs="Times New Roman"/>
        </w:rPr>
        <w:t>Some definitions that should be considered:</w:t>
      </w:r>
    </w:p>
    <w:p w14:paraId="0866764A" w14:textId="77777777" w:rsidR="00BE3603" w:rsidRPr="00BE3603" w:rsidRDefault="00BE3603" w:rsidP="00BE3603">
      <w:pPr>
        <w:pStyle w:val="ListParagraph"/>
        <w:rPr>
          <w:rFonts w:ascii="Aptos" w:eastAsia="Aptos" w:hAnsi="Aptos" w:cs="Times New Roman"/>
        </w:rPr>
      </w:pPr>
    </w:p>
    <w:p w14:paraId="67BBCCFF" w14:textId="75F1FBCC" w:rsidR="00BE3603" w:rsidRDefault="00DE5C44" w:rsidP="00BE3603">
      <w:pPr>
        <w:pStyle w:val="ListParagraph"/>
        <w:numPr>
          <w:ilvl w:val="0"/>
          <w:numId w:val="6"/>
        </w:numPr>
        <w:spacing w:line="256" w:lineRule="auto"/>
        <w:rPr>
          <w:rFonts w:ascii="Aptos" w:eastAsia="Aptos" w:hAnsi="Aptos" w:cs="Times New Roman"/>
        </w:rPr>
      </w:pPr>
      <w:r w:rsidRPr="00BE3603">
        <w:rPr>
          <w:rFonts w:ascii="Aptos" w:eastAsia="Aptos" w:hAnsi="Aptos" w:cs="Times New Roman"/>
        </w:rPr>
        <w:t>‘Integrity’ – the meaning of this has been debated within the profession, across the UK and at public inquiry</w:t>
      </w:r>
      <w:r w:rsidR="00BE3603">
        <w:rPr>
          <w:rFonts w:ascii="Aptos" w:eastAsia="Aptos" w:hAnsi="Aptos" w:cs="Times New Roman"/>
        </w:rPr>
        <w:t>, and although</w:t>
      </w:r>
      <w:r w:rsidRPr="00BE3603">
        <w:rPr>
          <w:rFonts w:ascii="Aptos" w:eastAsia="Aptos" w:hAnsi="Aptos" w:cs="Times New Roman"/>
        </w:rPr>
        <w:t xml:space="preserve"> a partial definition is given in the document text</w:t>
      </w:r>
      <w:r w:rsidR="00BE3603">
        <w:rPr>
          <w:rFonts w:ascii="Aptos" w:eastAsia="Aptos" w:hAnsi="Aptos" w:cs="Times New Roman"/>
        </w:rPr>
        <w:t>,</w:t>
      </w:r>
      <w:r w:rsidRPr="00BE3603">
        <w:rPr>
          <w:rFonts w:ascii="Aptos" w:eastAsia="Aptos" w:hAnsi="Aptos" w:cs="Times New Roman"/>
        </w:rPr>
        <w:t xml:space="preserve"> its formal inclusion within a glossary would improve its understanding in this context. </w:t>
      </w:r>
      <w:r w:rsidR="00BE3603">
        <w:rPr>
          <w:rFonts w:ascii="Aptos" w:eastAsia="Aptos" w:hAnsi="Aptos" w:cs="Times New Roman"/>
        </w:rPr>
        <w:t>It may also be useful to consider including the term</w:t>
      </w:r>
      <w:r w:rsidRPr="00BE3603">
        <w:rPr>
          <w:rFonts w:ascii="Aptos" w:eastAsia="Aptos" w:hAnsi="Aptos" w:cs="Times New Roman"/>
        </w:rPr>
        <w:t xml:space="preserve"> ‘overall integrity’ and is </w:t>
      </w:r>
      <w:r w:rsidR="00BE3603">
        <w:rPr>
          <w:rFonts w:ascii="Aptos" w:eastAsia="Aptos" w:hAnsi="Aptos" w:cs="Times New Roman"/>
        </w:rPr>
        <w:t xml:space="preserve">whether </w:t>
      </w:r>
      <w:r w:rsidRPr="00BE3603">
        <w:rPr>
          <w:rFonts w:ascii="Aptos" w:eastAsia="Aptos" w:hAnsi="Aptos" w:cs="Times New Roman"/>
        </w:rPr>
        <w:t>there a difference</w:t>
      </w:r>
      <w:r w:rsidR="00BE3603">
        <w:rPr>
          <w:rFonts w:ascii="Aptos" w:eastAsia="Aptos" w:hAnsi="Aptos" w:cs="Times New Roman"/>
        </w:rPr>
        <w:t xml:space="preserve"> from ‘integrity’.</w:t>
      </w:r>
    </w:p>
    <w:p w14:paraId="335C60A9" w14:textId="77777777" w:rsidR="00BE3603" w:rsidRPr="00BE3603" w:rsidRDefault="00BE3603" w:rsidP="00BE3603">
      <w:pPr>
        <w:pStyle w:val="ListParagraph"/>
        <w:spacing w:line="256" w:lineRule="auto"/>
        <w:ind w:left="1800"/>
        <w:rPr>
          <w:rFonts w:ascii="Aptos" w:eastAsia="Aptos" w:hAnsi="Aptos" w:cs="Times New Roman"/>
        </w:rPr>
      </w:pPr>
    </w:p>
    <w:p w14:paraId="10600A3B" w14:textId="3882711C" w:rsidR="00BE3603" w:rsidRDefault="00DE5C44" w:rsidP="009244A7">
      <w:pPr>
        <w:pStyle w:val="ListParagraph"/>
        <w:numPr>
          <w:ilvl w:val="0"/>
          <w:numId w:val="6"/>
        </w:numPr>
        <w:spacing w:before="120" w:after="120" w:line="240" w:lineRule="auto"/>
        <w:rPr>
          <w:rFonts w:ascii="Aptos" w:eastAsia="Aptos" w:hAnsi="Aptos" w:cs="Times New Roman"/>
        </w:rPr>
      </w:pPr>
      <w:r w:rsidRPr="00BE3603">
        <w:rPr>
          <w:rFonts w:ascii="Aptos" w:eastAsia="Aptos" w:hAnsi="Aptos" w:cs="Times New Roman"/>
        </w:rPr>
        <w:lastRenderedPageBreak/>
        <w:t xml:space="preserve">‘Overall’- </w:t>
      </w:r>
      <w:r w:rsidR="00AB67B6">
        <w:rPr>
          <w:rFonts w:ascii="Aptos" w:eastAsia="Aptos" w:hAnsi="Aptos" w:cs="Times New Roman"/>
        </w:rPr>
        <w:t>this</w:t>
      </w:r>
      <w:r w:rsidRPr="00BE3603">
        <w:rPr>
          <w:rFonts w:ascii="Aptos" w:eastAsia="Aptos" w:hAnsi="Aptos" w:cs="Times New Roman"/>
        </w:rPr>
        <w:t xml:space="preserve"> t</w:t>
      </w:r>
      <w:r w:rsidR="00AB67B6">
        <w:rPr>
          <w:rFonts w:ascii="Aptos" w:eastAsia="Aptos" w:hAnsi="Aptos" w:cs="Times New Roman"/>
        </w:rPr>
        <w:t>erm</w:t>
      </w:r>
      <w:r w:rsidRPr="00BE3603">
        <w:rPr>
          <w:rFonts w:ascii="Aptos" w:eastAsia="Aptos" w:hAnsi="Aptos" w:cs="Times New Roman"/>
        </w:rPr>
        <w:t xml:space="preserve"> </w:t>
      </w:r>
      <w:r w:rsidR="00AB67B6">
        <w:rPr>
          <w:rFonts w:ascii="Aptos" w:eastAsia="Aptos" w:hAnsi="Aptos" w:cs="Times New Roman"/>
        </w:rPr>
        <w:t>is often</w:t>
      </w:r>
      <w:r w:rsidRPr="00BE3603">
        <w:rPr>
          <w:rFonts w:ascii="Aptos" w:eastAsia="Aptos" w:hAnsi="Aptos" w:cs="Times New Roman"/>
        </w:rPr>
        <w:t xml:space="preserve"> used in assessments </w:t>
      </w:r>
      <w:r w:rsidR="00AB67B6">
        <w:rPr>
          <w:rFonts w:ascii="Aptos" w:eastAsia="Aptos" w:hAnsi="Aptos" w:cs="Times New Roman"/>
        </w:rPr>
        <w:t>and</w:t>
      </w:r>
      <w:r w:rsidRPr="00BE3603">
        <w:rPr>
          <w:rFonts w:ascii="Aptos" w:eastAsia="Aptos" w:hAnsi="Aptos" w:cs="Times New Roman"/>
        </w:rPr>
        <w:t xml:space="preserve"> tends to ‘water down’ a localised effect, that may nonetheless </w:t>
      </w:r>
      <w:r w:rsidR="00AB67B6">
        <w:rPr>
          <w:rFonts w:ascii="Aptos" w:eastAsia="Aptos" w:hAnsi="Aptos" w:cs="Times New Roman"/>
        </w:rPr>
        <w:t>affect</w:t>
      </w:r>
      <w:r w:rsidRPr="00BE3603">
        <w:rPr>
          <w:rFonts w:ascii="Aptos" w:eastAsia="Aptos" w:hAnsi="Aptos" w:cs="Times New Roman"/>
        </w:rPr>
        <w:t xml:space="preserve"> the ‘integrity’ of an SLQ / national designation.</w:t>
      </w:r>
      <w:r w:rsidR="00BE3603" w:rsidRPr="00BE3603">
        <w:rPr>
          <w:rFonts w:ascii="Aptos" w:eastAsia="Aptos" w:hAnsi="Aptos" w:cs="Times New Roman"/>
        </w:rPr>
        <w:t xml:space="preserve"> </w:t>
      </w:r>
    </w:p>
    <w:p w14:paraId="4F7541AA" w14:textId="77777777" w:rsidR="00BE3603" w:rsidRPr="00BE3603" w:rsidRDefault="00BE3603" w:rsidP="00BE3603">
      <w:pPr>
        <w:pStyle w:val="ListParagraph"/>
        <w:rPr>
          <w:rFonts w:ascii="Aptos" w:eastAsia="Aptos" w:hAnsi="Aptos" w:cs="Times New Roman"/>
        </w:rPr>
      </w:pPr>
    </w:p>
    <w:p w14:paraId="5AA8972D" w14:textId="77777777" w:rsidR="005C3F26" w:rsidRDefault="00DE5C44" w:rsidP="005C3F26">
      <w:pPr>
        <w:pStyle w:val="ListParagraph"/>
        <w:numPr>
          <w:ilvl w:val="0"/>
          <w:numId w:val="6"/>
        </w:numPr>
        <w:spacing w:before="120" w:after="120" w:line="240" w:lineRule="auto"/>
        <w:rPr>
          <w:rFonts w:ascii="Aptos" w:eastAsia="Aptos" w:hAnsi="Aptos" w:cs="Times New Roman"/>
        </w:rPr>
      </w:pPr>
      <w:r w:rsidRPr="00BE3603">
        <w:rPr>
          <w:rFonts w:ascii="Aptos" w:eastAsia="Aptos" w:hAnsi="Aptos" w:cs="Times New Roman"/>
        </w:rPr>
        <w:t xml:space="preserve">Abbreviations – some but not all are </w:t>
      </w:r>
      <w:r w:rsidR="007862E8" w:rsidRPr="00BE3603">
        <w:rPr>
          <w:rFonts w:ascii="Aptos" w:eastAsia="Aptos" w:hAnsi="Aptos" w:cs="Times New Roman"/>
        </w:rPr>
        <w:t>included,</w:t>
      </w:r>
      <w:r w:rsidR="007862E8">
        <w:rPr>
          <w:rFonts w:ascii="Aptos" w:eastAsia="Aptos" w:hAnsi="Aptos" w:cs="Times New Roman"/>
        </w:rPr>
        <w:t xml:space="preserve"> and this should be reviewed. For example, </w:t>
      </w:r>
      <w:r w:rsidRPr="00BE3603">
        <w:rPr>
          <w:rFonts w:ascii="Aptos" w:eastAsia="Aptos" w:hAnsi="Aptos" w:cs="Times New Roman"/>
        </w:rPr>
        <w:t>SQ’s</w:t>
      </w:r>
      <w:r w:rsidR="007862E8">
        <w:rPr>
          <w:rFonts w:ascii="Aptos" w:eastAsia="Aptos" w:hAnsi="Aptos" w:cs="Times New Roman"/>
        </w:rPr>
        <w:t xml:space="preserve"> is not included, nor a definition of</w:t>
      </w:r>
      <w:r w:rsidRPr="00BE3603">
        <w:rPr>
          <w:rFonts w:ascii="Aptos" w:eastAsia="Aptos" w:hAnsi="Aptos" w:cs="Times New Roman"/>
        </w:rPr>
        <w:t xml:space="preserve"> how this is different from SLQs</w:t>
      </w:r>
      <w:r w:rsidR="007862E8">
        <w:rPr>
          <w:rFonts w:ascii="Aptos" w:eastAsia="Aptos" w:hAnsi="Aptos" w:cs="Times New Roman"/>
        </w:rPr>
        <w:t xml:space="preserve"> (Recognising that</w:t>
      </w:r>
      <w:r w:rsidRPr="00BE3603">
        <w:rPr>
          <w:rFonts w:ascii="Aptos" w:eastAsia="Aptos" w:hAnsi="Aptos" w:cs="Times New Roman"/>
        </w:rPr>
        <w:t xml:space="preserve"> in some cases it will be difficult to make a distinction</w:t>
      </w:r>
      <w:r w:rsidR="007862E8">
        <w:rPr>
          <w:rFonts w:ascii="Aptos" w:eastAsia="Aptos" w:hAnsi="Aptos" w:cs="Times New Roman"/>
        </w:rPr>
        <w:t>).</w:t>
      </w:r>
    </w:p>
    <w:p w14:paraId="10BC871F" w14:textId="77777777" w:rsidR="005C3F26" w:rsidRPr="005C3F26" w:rsidRDefault="005C3F26" w:rsidP="005C3F26">
      <w:pPr>
        <w:pStyle w:val="ListParagraph"/>
        <w:rPr>
          <w:rFonts w:ascii="Aptos" w:eastAsia="Aptos" w:hAnsi="Aptos" w:cs="Times New Roman"/>
        </w:rPr>
      </w:pPr>
    </w:p>
    <w:p w14:paraId="4BC0E6F7" w14:textId="44D73B9A" w:rsidR="00DE5C44" w:rsidRPr="00700896" w:rsidRDefault="00DE5C44" w:rsidP="005C3F26">
      <w:pPr>
        <w:pStyle w:val="ListParagraph"/>
        <w:numPr>
          <w:ilvl w:val="0"/>
          <w:numId w:val="6"/>
        </w:numPr>
        <w:spacing w:before="120" w:after="120" w:line="240" w:lineRule="auto"/>
        <w:rPr>
          <w:rFonts w:ascii="Aptos" w:eastAsia="Aptos" w:hAnsi="Aptos" w:cs="Times New Roman"/>
        </w:rPr>
      </w:pPr>
      <w:r w:rsidRPr="005C3F26">
        <w:rPr>
          <w:rFonts w:ascii="Aptos" w:eastAsia="Aptos" w:hAnsi="Aptos" w:cs="Times New Roman"/>
        </w:rPr>
        <w:t>‘Natural heritage’</w:t>
      </w:r>
      <w:r w:rsidR="005C3F26">
        <w:rPr>
          <w:rFonts w:ascii="Aptos" w:eastAsia="Aptos" w:hAnsi="Aptos" w:cs="Times New Roman"/>
        </w:rPr>
        <w:t>,</w:t>
      </w:r>
      <w:r w:rsidRPr="005C3F26">
        <w:rPr>
          <w:rFonts w:ascii="Aptos" w:eastAsia="Aptos" w:hAnsi="Aptos" w:cs="Times New Roman"/>
        </w:rPr>
        <w:t xml:space="preserve"> ‘natural beauty’ and ‘special qualities’– </w:t>
      </w:r>
      <w:r w:rsidR="005C3F26">
        <w:rPr>
          <w:rFonts w:ascii="Aptos" w:eastAsia="Aptos" w:hAnsi="Aptos" w:cs="Times New Roman"/>
        </w:rPr>
        <w:t>These</w:t>
      </w:r>
      <w:r w:rsidRPr="005C3F26">
        <w:rPr>
          <w:rFonts w:ascii="Aptos" w:eastAsia="Aptos" w:hAnsi="Aptos" w:cs="Times New Roman"/>
        </w:rPr>
        <w:t xml:space="preserve"> terms </w:t>
      </w:r>
      <w:r w:rsidR="005C3F26">
        <w:rPr>
          <w:rFonts w:ascii="Aptos" w:eastAsia="Aptos" w:hAnsi="Aptos" w:cs="Times New Roman"/>
        </w:rPr>
        <w:t xml:space="preserve">also </w:t>
      </w:r>
      <w:r w:rsidRPr="005C3F26">
        <w:rPr>
          <w:rFonts w:ascii="Aptos" w:eastAsia="Aptos" w:hAnsi="Aptos" w:cs="Times New Roman"/>
        </w:rPr>
        <w:t xml:space="preserve">need definition as </w:t>
      </w:r>
      <w:r w:rsidR="005C3F26">
        <w:rPr>
          <w:rFonts w:ascii="Aptos" w:eastAsia="Aptos" w:hAnsi="Aptos" w:cs="Times New Roman"/>
        </w:rPr>
        <w:t>they</w:t>
      </w:r>
      <w:r w:rsidRPr="005C3F26">
        <w:rPr>
          <w:rFonts w:ascii="Aptos" w:eastAsia="Aptos" w:hAnsi="Aptos" w:cs="Times New Roman"/>
        </w:rPr>
        <w:t xml:space="preserve"> appear</w:t>
      </w:r>
      <w:r w:rsidR="005C3F26">
        <w:rPr>
          <w:rFonts w:ascii="Aptos" w:eastAsia="Aptos" w:hAnsi="Aptos" w:cs="Times New Roman"/>
        </w:rPr>
        <w:t xml:space="preserve"> </w:t>
      </w:r>
      <w:r w:rsidRPr="005C3F26">
        <w:rPr>
          <w:rFonts w:ascii="Aptos" w:eastAsia="Aptos" w:hAnsi="Aptos" w:cs="Times New Roman"/>
        </w:rPr>
        <w:t xml:space="preserve">in legislation related to National Parks </w:t>
      </w:r>
      <w:r w:rsidRPr="005C3F26">
        <w:rPr>
          <w:rFonts w:eastAsia="Aptos" w:cs="Times New Roman"/>
        </w:rPr>
        <w:t>(N</w:t>
      </w:r>
      <w:r w:rsidRPr="005C3F26">
        <w:rPr>
          <w:rFonts w:eastAsia="Aptos" w:cs="Times New Roman"/>
          <w:color w:val="1E1E1E"/>
          <w:shd w:val="clear" w:color="auto" w:fill="F5F5F5"/>
        </w:rPr>
        <w:t>ational Parks (Scotland) Act 2000).</w:t>
      </w:r>
    </w:p>
    <w:p w14:paraId="1C187719" w14:textId="77777777" w:rsidR="00700896" w:rsidRPr="00700896" w:rsidRDefault="00700896" w:rsidP="00700896">
      <w:pPr>
        <w:pStyle w:val="ListParagraph"/>
        <w:rPr>
          <w:rFonts w:ascii="Aptos" w:eastAsia="Aptos" w:hAnsi="Aptos" w:cs="Times New Roman"/>
        </w:rPr>
      </w:pPr>
    </w:p>
    <w:p w14:paraId="68DA5C6C" w14:textId="111E652B" w:rsidR="00700896" w:rsidRDefault="00700896" w:rsidP="005C3F26">
      <w:pPr>
        <w:pStyle w:val="ListParagraph"/>
        <w:numPr>
          <w:ilvl w:val="0"/>
          <w:numId w:val="6"/>
        </w:numPr>
        <w:spacing w:before="120" w:after="120" w:line="240" w:lineRule="auto"/>
        <w:rPr>
          <w:rFonts w:ascii="Aptos" w:eastAsia="Aptos" w:hAnsi="Aptos" w:cs="Times New Roman"/>
        </w:rPr>
      </w:pPr>
      <w:r w:rsidRPr="00C93B63">
        <w:rPr>
          <w:rFonts w:ascii="Aptos" w:eastAsia="Aptos" w:hAnsi="Aptos" w:cs="Times New Roman"/>
        </w:rPr>
        <w:t>'Wildness</w:t>
      </w:r>
      <w:r>
        <w:rPr>
          <w:rFonts w:ascii="Aptos" w:eastAsia="Aptos" w:hAnsi="Aptos" w:cs="Times New Roman"/>
        </w:rPr>
        <w:t>” – This is described as</w:t>
      </w:r>
      <w:r w:rsidRPr="00C93B63">
        <w:rPr>
          <w:rFonts w:ascii="Aptos" w:eastAsia="Aptos" w:hAnsi="Aptos" w:cs="Times New Roman"/>
        </w:rPr>
        <w:t>, displaying an absence of human artefacts'</w:t>
      </w:r>
      <w:r>
        <w:rPr>
          <w:rFonts w:ascii="Aptos" w:eastAsia="Aptos" w:hAnsi="Aptos" w:cs="Times New Roman"/>
        </w:rPr>
        <w:t xml:space="preserve">, however it would be helpful to add </w:t>
      </w:r>
      <w:r w:rsidRPr="00C93B63">
        <w:rPr>
          <w:rFonts w:ascii="Aptos" w:eastAsia="Aptos" w:hAnsi="Aptos" w:cs="Times New Roman"/>
        </w:rPr>
        <w:t>'and activities'</w:t>
      </w:r>
      <w:r>
        <w:rPr>
          <w:rFonts w:ascii="Aptos" w:eastAsia="Aptos" w:hAnsi="Aptos" w:cs="Times New Roman"/>
        </w:rPr>
        <w:t xml:space="preserve"> to this. </w:t>
      </w:r>
    </w:p>
    <w:p w14:paraId="02F62C33" w14:textId="77777777" w:rsidR="000A6FD7" w:rsidRPr="000A6FD7" w:rsidRDefault="000A6FD7" w:rsidP="000A6FD7">
      <w:pPr>
        <w:pStyle w:val="ListParagraph"/>
        <w:rPr>
          <w:rFonts w:ascii="Aptos" w:eastAsia="Aptos" w:hAnsi="Aptos" w:cs="Times New Roman"/>
        </w:rPr>
      </w:pPr>
    </w:p>
    <w:p w14:paraId="771A1A2C" w14:textId="77777777" w:rsidR="001D4C3D" w:rsidRDefault="001D4C3D" w:rsidP="001D4C3D">
      <w:pPr>
        <w:pStyle w:val="ListParagraph"/>
        <w:rPr>
          <w:rFonts w:ascii="Aptos" w:eastAsia="Aptos" w:hAnsi="Aptos" w:cs="Times New Roman"/>
        </w:rPr>
      </w:pPr>
    </w:p>
    <w:p w14:paraId="4BC3FE33" w14:textId="77777777" w:rsidR="005C3F26" w:rsidRPr="005C3F26" w:rsidRDefault="001D4C3D" w:rsidP="004A3070">
      <w:pPr>
        <w:pStyle w:val="ListParagraph"/>
        <w:numPr>
          <w:ilvl w:val="0"/>
          <w:numId w:val="7"/>
        </w:numPr>
        <w:spacing w:before="120" w:after="120" w:line="240" w:lineRule="auto"/>
        <w:ind w:left="720"/>
        <w:rPr>
          <w:rFonts w:ascii="Aptos" w:eastAsia="Aptos" w:hAnsi="Aptos" w:cs="Times New Roman"/>
          <w:color w:val="0070C0"/>
        </w:rPr>
      </w:pPr>
      <w:r w:rsidRPr="005C3F26">
        <w:rPr>
          <w:rFonts w:ascii="Aptos" w:eastAsia="Aptos" w:hAnsi="Aptos" w:cs="Times New Roman"/>
        </w:rPr>
        <w:t>It is important to use the term ‘chartered Landscape Architect’ and ‘suitably qualified and experienced landscape professional’ when considering projects, and to take care not to suggest that ‘planning or other environmental professionals’ (e.g. planners / ecologists / hydrologists, EIA project managers) should be encouraged to make assessments of nationally important landscapes. Each professional should be recognised for their specific skill set, and the guidance should reflect this.</w:t>
      </w:r>
    </w:p>
    <w:p w14:paraId="2CDA2522" w14:textId="77777777" w:rsidR="005C3F26" w:rsidRPr="005C3F26" w:rsidRDefault="005C3F26" w:rsidP="005C3F26">
      <w:pPr>
        <w:pStyle w:val="ListParagraph"/>
        <w:spacing w:before="120" w:after="120" w:line="240" w:lineRule="auto"/>
        <w:rPr>
          <w:rFonts w:ascii="Aptos" w:eastAsia="Aptos" w:hAnsi="Aptos" w:cs="Times New Roman"/>
          <w:color w:val="0070C0"/>
        </w:rPr>
      </w:pPr>
    </w:p>
    <w:p w14:paraId="652BACF6" w14:textId="77777777" w:rsidR="00D36AF4" w:rsidRDefault="005C3F26" w:rsidP="00D36AF4">
      <w:pPr>
        <w:pStyle w:val="ListParagraph"/>
        <w:numPr>
          <w:ilvl w:val="0"/>
          <w:numId w:val="7"/>
        </w:numPr>
        <w:spacing w:before="120" w:after="120" w:line="240" w:lineRule="auto"/>
        <w:ind w:left="720"/>
        <w:rPr>
          <w:rFonts w:ascii="Aptos" w:eastAsia="Aptos" w:hAnsi="Aptos" w:cs="Times New Roman"/>
        </w:rPr>
      </w:pPr>
      <w:r w:rsidRPr="008B49DC">
        <w:rPr>
          <w:rFonts w:ascii="Aptos" w:eastAsia="Aptos" w:hAnsi="Aptos" w:cs="Times New Roman"/>
        </w:rPr>
        <w:t>More emphasis is needed on highlighting the climate and nature emergencies, and on the multi-functional role that landscape will play in reversing the drivers of climate change and in the recovery of nature, and the importance of the sustainable use of natural resources. Building</w:t>
      </w:r>
      <w:r w:rsidR="005F1900" w:rsidRPr="008B49DC">
        <w:rPr>
          <w:rFonts w:ascii="Aptos" w:eastAsia="Aptos" w:hAnsi="Aptos" w:cs="Times New Roman"/>
        </w:rPr>
        <w:t xml:space="preserve"> resilience </w:t>
      </w:r>
      <w:r w:rsidRPr="008B49DC">
        <w:rPr>
          <w:rFonts w:ascii="Aptos" w:eastAsia="Aptos" w:hAnsi="Aptos" w:cs="Times New Roman"/>
        </w:rPr>
        <w:t>and using</w:t>
      </w:r>
      <w:r w:rsidR="005F1900" w:rsidRPr="008B49DC">
        <w:rPr>
          <w:rFonts w:ascii="Aptos" w:eastAsia="Aptos" w:hAnsi="Aptos" w:cs="Times New Roman"/>
        </w:rPr>
        <w:t xml:space="preserve"> </w:t>
      </w:r>
      <w:r w:rsidRPr="008B49DC">
        <w:rPr>
          <w:rFonts w:ascii="Aptos" w:eastAsia="Aptos" w:hAnsi="Aptos" w:cs="Times New Roman"/>
        </w:rPr>
        <w:t xml:space="preserve">effective </w:t>
      </w:r>
      <w:r w:rsidR="005F1900" w:rsidRPr="008B49DC">
        <w:rPr>
          <w:rFonts w:ascii="Aptos" w:eastAsia="Aptos" w:hAnsi="Aptos" w:cs="Times New Roman"/>
        </w:rPr>
        <w:t>risk assessment</w:t>
      </w:r>
      <w:r w:rsidRPr="008B49DC">
        <w:rPr>
          <w:rFonts w:ascii="Aptos" w:eastAsia="Aptos" w:hAnsi="Aptos" w:cs="Times New Roman"/>
        </w:rPr>
        <w:t xml:space="preserve"> processes will be key to prevent the </w:t>
      </w:r>
      <w:r w:rsidR="005F1900" w:rsidRPr="008B49DC">
        <w:rPr>
          <w:rFonts w:ascii="Aptos" w:eastAsia="Aptos" w:hAnsi="Aptos" w:cs="Times New Roman"/>
        </w:rPr>
        <w:t xml:space="preserve">catastrophic loss of </w:t>
      </w:r>
      <w:r w:rsidR="008B49DC">
        <w:rPr>
          <w:rFonts w:ascii="Aptos" w:eastAsia="Aptos" w:hAnsi="Aptos" w:cs="Times New Roman"/>
        </w:rPr>
        <w:t xml:space="preserve">natural capital, to protect the </w:t>
      </w:r>
      <w:r w:rsidR="005F1900" w:rsidRPr="008B49DC">
        <w:rPr>
          <w:rFonts w:ascii="Aptos" w:eastAsia="Aptos" w:hAnsi="Aptos" w:cs="Times New Roman"/>
        </w:rPr>
        <w:t xml:space="preserve">biological health of soils, plants, animals, water and </w:t>
      </w:r>
      <w:r w:rsidR="008B49DC" w:rsidRPr="008B49DC">
        <w:rPr>
          <w:rFonts w:ascii="Aptos" w:eastAsia="Aptos" w:hAnsi="Aptos" w:cs="Times New Roman"/>
        </w:rPr>
        <w:t>air,</w:t>
      </w:r>
      <w:r w:rsidR="005F1900" w:rsidRPr="008B49DC">
        <w:rPr>
          <w:rFonts w:ascii="Aptos" w:eastAsia="Aptos" w:hAnsi="Aptos" w:cs="Times New Roman"/>
        </w:rPr>
        <w:t xml:space="preserve"> and </w:t>
      </w:r>
      <w:r w:rsidR="008B49DC">
        <w:rPr>
          <w:rFonts w:ascii="Aptos" w:eastAsia="Aptos" w:hAnsi="Aptos" w:cs="Times New Roman"/>
        </w:rPr>
        <w:t xml:space="preserve">to effectively respond to the pressures of </w:t>
      </w:r>
      <w:r w:rsidR="005F1900" w:rsidRPr="008B49DC">
        <w:rPr>
          <w:rFonts w:ascii="Aptos" w:eastAsia="Aptos" w:hAnsi="Aptos" w:cs="Times New Roman"/>
        </w:rPr>
        <w:t>climate change</w:t>
      </w:r>
      <w:r w:rsidRPr="008B49DC">
        <w:rPr>
          <w:rFonts w:ascii="Aptos" w:eastAsia="Aptos" w:hAnsi="Aptos" w:cs="Times New Roman"/>
        </w:rPr>
        <w:t>.</w:t>
      </w:r>
    </w:p>
    <w:p w14:paraId="57975286" w14:textId="77777777" w:rsidR="00D36AF4" w:rsidRPr="00D36AF4" w:rsidRDefault="00D36AF4" w:rsidP="00D36AF4">
      <w:pPr>
        <w:pStyle w:val="ListParagraph"/>
        <w:rPr>
          <w:rFonts w:ascii="Aptos" w:eastAsia="Aptos" w:hAnsi="Aptos" w:cs="Times New Roman"/>
        </w:rPr>
      </w:pPr>
    </w:p>
    <w:p w14:paraId="1EC48014" w14:textId="0A57CBA2" w:rsidR="00D36AF4" w:rsidRPr="00D36AF4" w:rsidRDefault="00D36AF4" w:rsidP="00D36AF4">
      <w:pPr>
        <w:pStyle w:val="ListParagraph"/>
        <w:numPr>
          <w:ilvl w:val="0"/>
          <w:numId w:val="7"/>
        </w:numPr>
        <w:spacing w:before="120" w:after="120" w:line="240" w:lineRule="auto"/>
        <w:ind w:left="720"/>
        <w:rPr>
          <w:rFonts w:ascii="Aptos" w:eastAsia="Aptos" w:hAnsi="Aptos" w:cs="Times New Roman"/>
        </w:rPr>
      </w:pPr>
      <w:r w:rsidRPr="00D36AF4">
        <w:rPr>
          <w:rFonts w:ascii="Aptos" w:eastAsia="Aptos" w:hAnsi="Aptos" w:cs="Times New Roman"/>
        </w:rPr>
        <w:t>While the guidance is mainly focused on built development affecting National Parks and NSAs, it is important that land and natural resources management is also included. Unsustainable management can in itself be more damaging than development and covers all land and water. The health of the landscape must be clearly analysed and included in the 'Baseline Condition, and it is important that the baseline description is included before the Baseline Condition in the guidance.</w:t>
      </w:r>
    </w:p>
    <w:p w14:paraId="3E86490A" w14:textId="77777777" w:rsidR="00A762A1" w:rsidRPr="00A762A1" w:rsidRDefault="00A762A1" w:rsidP="00A762A1">
      <w:pPr>
        <w:pStyle w:val="ListParagraph"/>
        <w:rPr>
          <w:rFonts w:ascii="Aptos" w:eastAsia="Aptos" w:hAnsi="Aptos" w:cs="Times New Roman"/>
        </w:rPr>
      </w:pPr>
    </w:p>
    <w:p w14:paraId="27E867B2" w14:textId="219F2AD6" w:rsidR="00A762A1" w:rsidRDefault="00A762A1" w:rsidP="00A762A1">
      <w:pPr>
        <w:pStyle w:val="ListParagraph"/>
        <w:numPr>
          <w:ilvl w:val="0"/>
          <w:numId w:val="7"/>
        </w:numPr>
        <w:spacing w:before="120" w:after="120" w:line="240" w:lineRule="auto"/>
        <w:ind w:left="720"/>
        <w:rPr>
          <w:rFonts w:ascii="Aptos" w:eastAsia="Aptos" w:hAnsi="Aptos" w:cs="Times New Roman"/>
        </w:rPr>
      </w:pPr>
      <w:r w:rsidRPr="00A762A1">
        <w:rPr>
          <w:rFonts w:ascii="Aptos" w:eastAsia="Aptos" w:hAnsi="Aptos" w:cs="Times New Roman"/>
        </w:rPr>
        <w:t>In terms of design, it would be useful to consider expanding each SLQ / SQ within National Parks and NSAs to include a management plan or objective. Without this, the onus tends to be focused on 'conservation’ rather than enhancement which should be avoided, especially at a time when there is a global biodiversity crisis. This would help developers and assessors focus mitigation measures that can be more affective</w:t>
      </w:r>
      <w:r>
        <w:rPr>
          <w:rFonts w:ascii="Aptos" w:eastAsia="Aptos" w:hAnsi="Aptos" w:cs="Times New Roman"/>
        </w:rPr>
        <w:t>,</w:t>
      </w:r>
      <w:r w:rsidRPr="00A762A1">
        <w:rPr>
          <w:rFonts w:ascii="Aptos" w:eastAsia="Aptos" w:hAnsi="Aptos" w:cs="Times New Roman"/>
        </w:rPr>
        <w:t xml:space="preserve"> wide reaching </w:t>
      </w:r>
      <w:r>
        <w:rPr>
          <w:rFonts w:ascii="Aptos" w:eastAsia="Aptos" w:hAnsi="Aptos" w:cs="Times New Roman"/>
        </w:rPr>
        <w:t>and</w:t>
      </w:r>
      <w:r w:rsidRPr="00A762A1">
        <w:rPr>
          <w:rFonts w:ascii="Aptos" w:eastAsia="Aptos" w:hAnsi="Aptos" w:cs="Times New Roman"/>
        </w:rPr>
        <w:t xml:space="preserve"> multipurpose</w:t>
      </w:r>
      <w:r>
        <w:rPr>
          <w:rFonts w:ascii="Aptos" w:eastAsia="Aptos" w:hAnsi="Aptos" w:cs="Times New Roman"/>
        </w:rPr>
        <w:t>,</w:t>
      </w:r>
      <w:r w:rsidRPr="00A762A1">
        <w:rPr>
          <w:rFonts w:ascii="Aptos" w:eastAsia="Aptos" w:hAnsi="Aptos" w:cs="Times New Roman"/>
        </w:rPr>
        <w:t xml:space="preserve"> and not limited to mitigating one development aspect</w:t>
      </w:r>
      <w:r>
        <w:rPr>
          <w:rFonts w:ascii="Aptos" w:eastAsia="Aptos" w:hAnsi="Aptos" w:cs="Times New Roman"/>
        </w:rPr>
        <w:t>. Emphasis should also be given to include policy as a vehicle for change.</w:t>
      </w:r>
    </w:p>
    <w:p w14:paraId="03D8237D" w14:textId="77777777" w:rsidR="00700896" w:rsidRPr="00700896" w:rsidRDefault="00700896" w:rsidP="00700896">
      <w:pPr>
        <w:pStyle w:val="ListParagraph"/>
        <w:rPr>
          <w:rFonts w:ascii="Aptos" w:eastAsia="Aptos" w:hAnsi="Aptos" w:cs="Times New Roman"/>
        </w:rPr>
      </w:pPr>
    </w:p>
    <w:p w14:paraId="397FE746" w14:textId="77777777" w:rsidR="004C30E6" w:rsidRDefault="009E2CF1" w:rsidP="00083AD4">
      <w:pPr>
        <w:pStyle w:val="ListParagraph"/>
        <w:numPr>
          <w:ilvl w:val="0"/>
          <w:numId w:val="7"/>
        </w:numPr>
        <w:spacing w:before="120" w:after="120" w:line="256" w:lineRule="auto"/>
        <w:ind w:left="720"/>
        <w:rPr>
          <w:rFonts w:ascii="Aptos" w:eastAsia="Aptos" w:hAnsi="Aptos" w:cs="Times New Roman"/>
        </w:rPr>
      </w:pPr>
      <w:r w:rsidRPr="004C30E6">
        <w:rPr>
          <w:rFonts w:ascii="Aptos" w:eastAsia="Aptos" w:hAnsi="Aptos" w:cs="Times New Roman"/>
        </w:rPr>
        <w:t>When considering “T</w:t>
      </w:r>
      <w:r w:rsidR="008B49DC" w:rsidRPr="004C30E6">
        <w:rPr>
          <w:rFonts w:ascii="Aptos" w:eastAsia="Aptos" w:hAnsi="Aptos" w:cs="Times New Roman"/>
        </w:rPr>
        <w:t>able 1</w:t>
      </w:r>
      <w:r w:rsidRPr="004C30E6">
        <w:rPr>
          <w:rFonts w:ascii="Aptos" w:eastAsia="Aptos" w:hAnsi="Aptos" w:cs="Times New Roman"/>
        </w:rPr>
        <w:t>”, s</w:t>
      </w:r>
      <w:r w:rsidR="008B49DC" w:rsidRPr="004C30E6">
        <w:rPr>
          <w:rFonts w:ascii="Aptos" w:eastAsia="Aptos" w:hAnsi="Aptos" w:cs="Times New Roman"/>
        </w:rPr>
        <w:t xml:space="preserve">ome SLQs </w:t>
      </w:r>
      <w:r w:rsidRPr="004C30E6">
        <w:rPr>
          <w:rFonts w:ascii="Aptos" w:eastAsia="Aptos" w:hAnsi="Aptos" w:cs="Times New Roman"/>
        </w:rPr>
        <w:t xml:space="preserve">will </w:t>
      </w:r>
      <w:r w:rsidR="008B49DC" w:rsidRPr="004C30E6">
        <w:rPr>
          <w:rFonts w:ascii="Aptos" w:eastAsia="Aptos" w:hAnsi="Aptos" w:cs="Times New Roman"/>
        </w:rPr>
        <w:t>need further interpretation and agreement with the relevant consultee as some SLQs can be vague</w:t>
      </w:r>
      <w:r w:rsidRPr="004C30E6">
        <w:rPr>
          <w:rFonts w:ascii="Aptos" w:eastAsia="Aptos" w:hAnsi="Aptos" w:cs="Times New Roman"/>
        </w:rPr>
        <w:t>,</w:t>
      </w:r>
      <w:r w:rsidR="008B49DC" w:rsidRPr="004C30E6">
        <w:rPr>
          <w:rFonts w:ascii="Aptos" w:eastAsia="Aptos" w:hAnsi="Aptos" w:cs="Times New Roman"/>
        </w:rPr>
        <w:t xml:space="preserve"> open to wide interpretation or out of date. Design objectives may not be fully achievable and may need to be set out </w:t>
      </w:r>
      <w:r w:rsidR="008B49DC" w:rsidRPr="004C30E6">
        <w:rPr>
          <w:rFonts w:ascii="Aptos" w:eastAsia="Aptos" w:hAnsi="Aptos" w:cs="Times New Roman"/>
        </w:rPr>
        <w:lastRenderedPageBreak/>
        <w:t>further as design principles or commitments will be achieved and embedded into the proposed development.</w:t>
      </w:r>
    </w:p>
    <w:p w14:paraId="7AD834B4" w14:textId="77777777" w:rsidR="004C30E6" w:rsidRPr="004C30E6" w:rsidRDefault="004C30E6" w:rsidP="004C30E6">
      <w:pPr>
        <w:pStyle w:val="ListParagraph"/>
        <w:rPr>
          <w:rFonts w:ascii="Aptos" w:eastAsia="Aptos" w:hAnsi="Aptos" w:cs="Times New Roman"/>
        </w:rPr>
      </w:pPr>
    </w:p>
    <w:p w14:paraId="163493B0" w14:textId="5E77EB04" w:rsidR="002F062E" w:rsidRPr="004C30E6" w:rsidRDefault="00DE5C44" w:rsidP="00083AD4">
      <w:pPr>
        <w:pStyle w:val="ListParagraph"/>
        <w:numPr>
          <w:ilvl w:val="0"/>
          <w:numId w:val="7"/>
        </w:numPr>
        <w:spacing w:before="120" w:after="120" w:line="256" w:lineRule="auto"/>
        <w:ind w:left="720"/>
        <w:rPr>
          <w:rFonts w:ascii="Aptos" w:eastAsia="Aptos" w:hAnsi="Aptos" w:cs="Times New Roman"/>
        </w:rPr>
      </w:pPr>
      <w:r w:rsidRPr="004C30E6">
        <w:rPr>
          <w:rFonts w:ascii="Aptos" w:eastAsia="Aptos" w:hAnsi="Aptos" w:cs="Times New Roman"/>
        </w:rPr>
        <w:t>Night-time assessment – Not all N</w:t>
      </w:r>
      <w:r w:rsidR="009E2CF1" w:rsidRPr="004C30E6">
        <w:rPr>
          <w:rFonts w:ascii="Aptos" w:eastAsia="Aptos" w:hAnsi="Aptos" w:cs="Times New Roman"/>
        </w:rPr>
        <w:t xml:space="preserve">ational Parks </w:t>
      </w:r>
      <w:r w:rsidRPr="004C30E6">
        <w:rPr>
          <w:rFonts w:ascii="Aptos" w:eastAsia="Aptos" w:hAnsi="Aptos" w:cs="Times New Roman"/>
        </w:rPr>
        <w:t>/ NSA</w:t>
      </w:r>
      <w:r w:rsidR="009E2CF1" w:rsidRPr="004C30E6">
        <w:rPr>
          <w:rFonts w:ascii="Aptos" w:eastAsia="Aptos" w:hAnsi="Aptos" w:cs="Times New Roman"/>
        </w:rPr>
        <w:t>s</w:t>
      </w:r>
      <w:r w:rsidRPr="004C30E6">
        <w:rPr>
          <w:rFonts w:ascii="Aptos" w:eastAsia="Aptos" w:hAnsi="Aptos" w:cs="Times New Roman"/>
        </w:rPr>
        <w:t xml:space="preserve"> have ‘dark sky parks’ or SLQs that relate to these</w:t>
      </w:r>
      <w:r w:rsidR="009E2CF1" w:rsidRPr="004C30E6">
        <w:rPr>
          <w:rFonts w:ascii="Aptos" w:eastAsia="Aptos" w:hAnsi="Aptos" w:cs="Times New Roman"/>
        </w:rPr>
        <w:t xml:space="preserve">, </w:t>
      </w:r>
      <w:r w:rsidRPr="004C30E6">
        <w:rPr>
          <w:rFonts w:ascii="Aptos" w:eastAsia="Aptos" w:hAnsi="Aptos" w:cs="Times New Roman"/>
        </w:rPr>
        <w:t xml:space="preserve">or a valued baseline that encompasses this component. </w:t>
      </w:r>
      <w:r w:rsidR="009E2CF1" w:rsidRPr="004C30E6">
        <w:rPr>
          <w:rFonts w:ascii="Aptos" w:eastAsia="Aptos" w:hAnsi="Aptos" w:cs="Times New Roman"/>
        </w:rPr>
        <w:t xml:space="preserve">It would be helpful to </w:t>
      </w:r>
      <w:r w:rsidRPr="004C30E6">
        <w:rPr>
          <w:rFonts w:ascii="Aptos" w:eastAsia="Aptos" w:hAnsi="Aptos" w:cs="Times New Roman"/>
        </w:rPr>
        <w:t xml:space="preserve">consider </w:t>
      </w:r>
      <w:r w:rsidR="009E2CF1" w:rsidRPr="004C30E6">
        <w:rPr>
          <w:rFonts w:ascii="Aptos" w:eastAsia="Aptos" w:hAnsi="Aptos" w:cs="Times New Roman"/>
        </w:rPr>
        <w:t xml:space="preserve">whether </w:t>
      </w:r>
      <w:r w:rsidRPr="004C30E6">
        <w:rPr>
          <w:rFonts w:ascii="Aptos" w:eastAsia="Aptos" w:hAnsi="Aptos" w:cs="Times New Roman"/>
        </w:rPr>
        <w:t xml:space="preserve">further work </w:t>
      </w:r>
      <w:r w:rsidR="009E2CF1" w:rsidRPr="004C30E6">
        <w:rPr>
          <w:rFonts w:ascii="Aptos" w:eastAsia="Aptos" w:hAnsi="Aptos" w:cs="Times New Roman"/>
        </w:rPr>
        <w:t>can be done on this area.</w:t>
      </w:r>
    </w:p>
    <w:p w14:paraId="7A128DAB" w14:textId="77777777" w:rsidR="002F062E" w:rsidRPr="002F062E" w:rsidRDefault="002F062E" w:rsidP="002F062E">
      <w:pPr>
        <w:pStyle w:val="ListParagraph"/>
        <w:rPr>
          <w:rFonts w:ascii="Aptos" w:eastAsia="Aptos" w:hAnsi="Aptos" w:cs="Times New Roman"/>
        </w:rPr>
      </w:pPr>
    </w:p>
    <w:p w14:paraId="31F95617" w14:textId="31A6D5D7" w:rsidR="002F062E" w:rsidRDefault="002F062E" w:rsidP="007E3376">
      <w:pPr>
        <w:pStyle w:val="ListParagraph"/>
        <w:numPr>
          <w:ilvl w:val="0"/>
          <w:numId w:val="7"/>
        </w:numPr>
        <w:spacing w:before="120" w:after="120" w:line="256" w:lineRule="auto"/>
        <w:ind w:left="720"/>
        <w:rPr>
          <w:rFonts w:ascii="Aptos" w:eastAsia="Aptos" w:hAnsi="Aptos" w:cs="Times New Roman"/>
        </w:rPr>
      </w:pPr>
      <w:r w:rsidRPr="002F062E">
        <w:rPr>
          <w:rFonts w:ascii="Aptos" w:eastAsia="Aptos" w:hAnsi="Aptos" w:cs="Times New Roman"/>
        </w:rPr>
        <w:t xml:space="preserve">There needs to be consideration of landscape effects </w:t>
      </w:r>
      <w:r w:rsidR="000923F3">
        <w:rPr>
          <w:rFonts w:ascii="Aptos" w:eastAsia="Aptos" w:hAnsi="Aptos" w:cs="Times New Roman"/>
        </w:rPr>
        <w:t xml:space="preserve">on </w:t>
      </w:r>
      <w:r w:rsidRPr="002F062E">
        <w:rPr>
          <w:rFonts w:ascii="Aptos" w:eastAsia="Aptos" w:hAnsi="Aptos" w:cs="Times New Roman"/>
        </w:rPr>
        <w:t xml:space="preserve">SLQ </w:t>
      </w:r>
      <w:r w:rsidR="000923F3">
        <w:rPr>
          <w:rFonts w:ascii="Aptos" w:eastAsia="Aptos" w:hAnsi="Aptos" w:cs="Times New Roman"/>
        </w:rPr>
        <w:t xml:space="preserve">from </w:t>
      </w:r>
      <w:r w:rsidRPr="002F062E">
        <w:rPr>
          <w:rFonts w:ascii="Aptos" w:eastAsia="Aptos" w:hAnsi="Aptos" w:cs="Times New Roman"/>
        </w:rPr>
        <w:t xml:space="preserve">developments that can be heard but not seen, and collaborative assessment between noise, landscape, ecology and heritage may be needed in some cases. </w:t>
      </w:r>
      <w:r w:rsidR="000923F3">
        <w:rPr>
          <w:rFonts w:ascii="Aptos" w:eastAsia="Aptos" w:hAnsi="Aptos" w:cs="Times New Roman"/>
        </w:rPr>
        <w:t xml:space="preserve">In some cases, other specialists may be working on other non-landscape related SQs for National Parks / National Scenic Areas that can be brought together into an overall report </w:t>
      </w:r>
      <w:r w:rsidR="000923F3" w:rsidRPr="009E2CF1">
        <w:rPr>
          <w:rFonts w:ascii="Aptos" w:eastAsia="Aptos" w:hAnsi="Aptos" w:cs="Times New Roman"/>
        </w:rPr>
        <w:t xml:space="preserve">on the </w:t>
      </w:r>
      <w:r w:rsidR="000923F3">
        <w:rPr>
          <w:rFonts w:ascii="Aptos" w:eastAsia="Aptos" w:hAnsi="Aptos" w:cs="Times New Roman"/>
        </w:rPr>
        <w:t>‘</w:t>
      </w:r>
      <w:r w:rsidR="000923F3" w:rsidRPr="009E2CF1">
        <w:rPr>
          <w:rFonts w:ascii="Aptos" w:eastAsia="Aptos" w:hAnsi="Aptos" w:cs="Times New Roman"/>
        </w:rPr>
        <w:t>total effects</w:t>
      </w:r>
      <w:r w:rsidR="000923F3">
        <w:rPr>
          <w:rFonts w:ascii="Aptos" w:eastAsia="Aptos" w:hAnsi="Aptos" w:cs="Times New Roman"/>
        </w:rPr>
        <w:t>’</w:t>
      </w:r>
      <w:r w:rsidR="000923F3" w:rsidRPr="009E2CF1">
        <w:rPr>
          <w:rFonts w:ascii="Aptos" w:eastAsia="Aptos" w:hAnsi="Aptos" w:cs="Times New Roman"/>
        </w:rPr>
        <w:t xml:space="preserve"> (both positive and negative) of the development on the National Park / NSA.</w:t>
      </w:r>
    </w:p>
    <w:p w14:paraId="45687EBB" w14:textId="77777777" w:rsidR="002F062E" w:rsidRPr="002F062E" w:rsidRDefault="002F062E" w:rsidP="002F062E">
      <w:pPr>
        <w:pStyle w:val="ListParagraph"/>
        <w:rPr>
          <w:rFonts w:ascii="Aptos" w:eastAsia="Aptos" w:hAnsi="Aptos" w:cs="Times New Roman"/>
        </w:rPr>
      </w:pPr>
    </w:p>
    <w:p w14:paraId="3BC10AED" w14:textId="77777777" w:rsidR="009B33CB" w:rsidRDefault="009B33CB" w:rsidP="004774AB">
      <w:pPr>
        <w:spacing w:line="256" w:lineRule="auto"/>
        <w:ind w:left="720"/>
        <w:contextualSpacing/>
        <w:rPr>
          <w:rFonts w:ascii="Aptos" w:eastAsia="Aptos" w:hAnsi="Aptos" w:cs="Times New Roman"/>
        </w:rPr>
      </w:pPr>
    </w:p>
    <w:p w14:paraId="65A54C6B" w14:textId="77777777" w:rsidR="00DE5C44" w:rsidRPr="00DE5C44" w:rsidRDefault="00DE5C44" w:rsidP="00DE5C44">
      <w:pPr>
        <w:spacing w:line="256" w:lineRule="auto"/>
        <w:ind w:left="720"/>
        <w:contextualSpacing/>
        <w:rPr>
          <w:rFonts w:ascii="Aptos" w:eastAsia="Aptos" w:hAnsi="Aptos" w:cs="Times New Roman"/>
        </w:rPr>
      </w:pPr>
    </w:p>
    <w:p w14:paraId="4C55C3EC" w14:textId="77777777" w:rsidR="00DE5C44" w:rsidRPr="00DE5C44" w:rsidRDefault="00DE5C44" w:rsidP="00DE5C44">
      <w:pPr>
        <w:spacing w:line="256" w:lineRule="auto"/>
        <w:ind w:left="720"/>
        <w:contextualSpacing/>
        <w:rPr>
          <w:rFonts w:ascii="Aptos" w:eastAsia="Aptos" w:hAnsi="Aptos" w:cs="Times New Roman"/>
        </w:rPr>
      </w:pPr>
    </w:p>
    <w:p w14:paraId="10C312F8" w14:textId="77777777" w:rsidR="00896758" w:rsidRPr="00C93B63" w:rsidRDefault="00896758" w:rsidP="00896758">
      <w:pPr>
        <w:spacing w:line="256" w:lineRule="auto"/>
        <w:ind w:left="720"/>
        <w:contextualSpacing/>
        <w:rPr>
          <w:rFonts w:ascii="Aptos" w:eastAsia="Aptos" w:hAnsi="Aptos" w:cs="Times New Roman"/>
        </w:rPr>
      </w:pPr>
    </w:p>
    <w:p w14:paraId="12783E6D" w14:textId="1812BB3C" w:rsidR="00C93B63" w:rsidRDefault="00C93B63" w:rsidP="00896758">
      <w:pPr>
        <w:ind w:left="720"/>
        <w:rPr>
          <w:color w:val="0070C0"/>
        </w:rPr>
      </w:pPr>
      <w:r w:rsidRPr="00C93B63">
        <w:rPr>
          <w:color w:val="0070C0"/>
        </w:rPr>
        <w:t>.</w:t>
      </w:r>
    </w:p>
    <w:p w14:paraId="71D2047C" w14:textId="77777777" w:rsidR="00D17C15" w:rsidRDefault="00D17C15"/>
    <w:sectPr w:rsidR="00D17C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327F0D"/>
    <w:multiLevelType w:val="hybridMultilevel"/>
    <w:tmpl w:val="34168F1E"/>
    <w:lvl w:ilvl="0" w:tplc="A67A1790">
      <w:start w:val="8"/>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 w15:restartNumberingAfterBreak="0">
    <w:nsid w:val="2200138B"/>
    <w:multiLevelType w:val="hybridMultilevel"/>
    <w:tmpl w:val="04A226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DB80517"/>
    <w:multiLevelType w:val="hybridMultilevel"/>
    <w:tmpl w:val="2B581D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6311353"/>
    <w:multiLevelType w:val="hybridMultilevel"/>
    <w:tmpl w:val="FF24C7F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4C4B0D1C"/>
    <w:multiLevelType w:val="hybridMultilevel"/>
    <w:tmpl w:val="22BE5CAA"/>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5" w15:restartNumberingAfterBreak="0">
    <w:nsid w:val="535233C1"/>
    <w:multiLevelType w:val="hybridMultilevel"/>
    <w:tmpl w:val="0708F7F8"/>
    <w:lvl w:ilvl="0" w:tplc="2D30F88E">
      <w:start w:val="8"/>
      <w:numFmt w:val="decimal"/>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6" w15:restartNumberingAfterBreak="0">
    <w:nsid w:val="55527A0A"/>
    <w:multiLevelType w:val="hybridMultilevel"/>
    <w:tmpl w:val="4516DC56"/>
    <w:lvl w:ilvl="0" w:tplc="CA70BC16">
      <w:start w:val="1"/>
      <w:numFmt w:val="bullet"/>
      <w:lvlText w:val="-"/>
      <w:lvlJc w:val="left"/>
      <w:pPr>
        <w:ind w:left="1080" w:hanging="360"/>
      </w:pPr>
      <w:rPr>
        <w:rFonts w:ascii="Aptos" w:eastAsiaTheme="minorHAnsi" w:hAnsi="Aptos" w:cstheme="minorBid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615C6193"/>
    <w:multiLevelType w:val="multilevel"/>
    <w:tmpl w:val="212047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6B4C07D5"/>
    <w:multiLevelType w:val="hybridMultilevel"/>
    <w:tmpl w:val="2B581D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785605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27606312">
    <w:abstractNumId w:val="2"/>
  </w:num>
  <w:num w:numId="3" w16cid:durableId="2133476696">
    <w:abstractNumId w:val="1"/>
  </w:num>
  <w:num w:numId="4" w16cid:durableId="788085739">
    <w:abstractNumId w:val="8"/>
  </w:num>
  <w:num w:numId="5" w16cid:durableId="14764838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97046384">
    <w:abstractNumId w:val="4"/>
  </w:num>
  <w:num w:numId="7" w16cid:durableId="524252523">
    <w:abstractNumId w:val="6"/>
  </w:num>
  <w:num w:numId="8" w16cid:durableId="1562599175">
    <w:abstractNumId w:val="0"/>
  </w:num>
  <w:num w:numId="9" w16cid:durableId="12289542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B63"/>
    <w:rsid w:val="00025B8C"/>
    <w:rsid w:val="00031482"/>
    <w:rsid w:val="00061210"/>
    <w:rsid w:val="000923F3"/>
    <w:rsid w:val="000A6FD7"/>
    <w:rsid w:val="000D0C82"/>
    <w:rsid w:val="00161611"/>
    <w:rsid w:val="00164B8A"/>
    <w:rsid w:val="001D4C3D"/>
    <w:rsid w:val="00213127"/>
    <w:rsid w:val="002B5230"/>
    <w:rsid w:val="002E192D"/>
    <w:rsid w:val="002F062E"/>
    <w:rsid w:val="00371E96"/>
    <w:rsid w:val="003E3154"/>
    <w:rsid w:val="00407630"/>
    <w:rsid w:val="0042455E"/>
    <w:rsid w:val="00434165"/>
    <w:rsid w:val="004774AB"/>
    <w:rsid w:val="004B760F"/>
    <w:rsid w:val="004C30E6"/>
    <w:rsid w:val="004F4C3F"/>
    <w:rsid w:val="00503CC3"/>
    <w:rsid w:val="0050597C"/>
    <w:rsid w:val="005420D9"/>
    <w:rsid w:val="0057580F"/>
    <w:rsid w:val="0058028A"/>
    <w:rsid w:val="005C3F26"/>
    <w:rsid w:val="005E24CF"/>
    <w:rsid w:val="005E4947"/>
    <w:rsid w:val="005F1900"/>
    <w:rsid w:val="00656902"/>
    <w:rsid w:val="006814AB"/>
    <w:rsid w:val="006A1622"/>
    <w:rsid w:val="006A5A2B"/>
    <w:rsid w:val="00700896"/>
    <w:rsid w:val="007611D0"/>
    <w:rsid w:val="00776FB0"/>
    <w:rsid w:val="007862E8"/>
    <w:rsid w:val="007B1274"/>
    <w:rsid w:val="007B3994"/>
    <w:rsid w:val="007B5411"/>
    <w:rsid w:val="007F5073"/>
    <w:rsid w:val="0080169A"/>
    <w:rsid w:val="00896758"/>
    <w:rsid w:val="008B49DC"/>
    <w:rsid w:val="009B33CB"/>
    <w:rsid w:val="009E2CF1"/>
    <w:rsid w:val="00A353CA"/>
    <w:rsid w:val="00A762A1"/>
    <w:rsid w:val="00AB67B6"/>
    <w:rsid w:val="00AC01A8"/>
    <w:rsid w:val="00AD31E6"/>
    <w:rsid w:val="00AE3689"/>
    <w:rsid w:val="00BE3603"/>
    <w:rsid w:val="00BE4656"/>
    <w:rsid w:val="00BF3BB6"/>
    <w:rsid w:val="00C27F86"/>
    <w:rsid w:val="00C76601"/>
    <w:rsid w:val="00C93B63"/>
    <w:rsid w:val="00CB64EA"/>
    <w:rsid w:val="00D01B11"/>
    <w:rsid w:val="00D17C15"/>
    <w:rsid w:val="00D26B65"/>
    <w:rsid w:val="00D36AF4"/>
    <w:rsid w:val="00D91347"/>
    <w:rsid w:val="00DA26E5"/>
    <w:rsid w:val="00DB7806"/>
    <w:rsid w:val="00DD2212"/>
    <w:rsid w:val="00DE5C44"/>
    <w:rsid w:val="00DF7A02"/>
    <w:rsid w:val="00E04195"/>
    <w:rsid w:val="00E218A8"/>
    <w:rsid w:val="00F5176B"/>
    <w:rsid w:val="00F517CB"/>
    <w:rsid w:val="00F8636D"/>
    <w:rsid w:val="00FD42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B12F5"/>
  <w15:chartTrackingRefBased/>
  <w15:docId w15:val="{4C8BE8D7-2514-476F-8142-6E737A894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3B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3B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3B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3B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3B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3B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3B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3B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3B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3B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3B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3B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3B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3B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3B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3B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3B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3B63"/>
    <w:rPr>
      <w:rFonts w:eastAsiaTheme="majorEastAsia" w:cstheme="majorBidi"/>
      <w:color w:val="272727" w:themeColor="text1" w:themeTint="D8"/>
    </w:rPr>
  </w:style>
  <w:style w:type="paragraph" w:styleId="Title">
    <w:name w:val="Title"/>
    <w:basedOn w:val="Normal"/>
    <w:next w:val="Normal"/>
    <w:link w:val="TitleChar"/>
    <w:uiPriority w:val="10"/>
    <w:qFormat/>
    <w:rsid w:val="00C93B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3B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3B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3B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3B63"/>
    <w:pPr>
      <w:spacing w:before="160"/>
      <w:jc w:val="center"/>
    </w:pPr>
    <w:rPr>
      <w:i/>
      <w:iCs/>
      <w:color w:val="404040" w:themeColor="text1" w:themeTint="BF"/>
    </w:rPr>
  </w:style>
  <w:style w:type="character" w:customStyle="1" w:styleId="QuoteChar">
    <w:name w:val="Quote Char"/>
    <w:basedOn w:val="DefaultParagraphFont"/>
    <w:link w:val="Quote"/>
    <w:uiPriority w:val="29"/>
    <w:rsid w:val="00C93B63"/>
    <w:rPr>
      <w:i/>
      <w:iCs/>
      <w:color w:val="404040" w:themeColor="text1" w:themeTint="BF"/>
    </w:rPr>
  </w:style>
  <w:style w:type="paragraph" w:styleId="ListParagraph">
    <w:name w:val="List Paragraph"/>
    <w:basedOn w:val="Normal"/>
    <w:uiPriority w:val="34"/>
    <w:qFormat/>
    <w:rsid w:val="00C93B63"/>
    <w:pPr>
      <w:ind w:left="720"/>
      <w:contextualSpacing/>
    </w:pPr>
  </w:style>
  <w:style w:type="character" w:styleId="IntenseEmphasis">
    <w:name w:val="Intense Emphasis"/>
    <w:basedOn w:val="DefaultParagraphFont"/>
    <w:uiPriority w:val="21"/>
    <w:qFormat/>
    <w:rsid w:val="00C93B63"/>
    <w:rPr>
      <w:i/>
      <w:iCs/>
      <w:color w:val="0F4761" w:themeColor="accent1" w:themeShade="BF"/>
    </w:rPr>
  </w:style>
  <w:style w:type="paragraph" w:styleId="IntenseQuote">
    <w:name w:val="Intense Quote"/>
    <w:basedOn w:val="Normal"/>
    <w:next w:val="Normal"/>
    <w:link w:val="IntenseQuoteChar"/>
    <w:uiPriority w:val="30"/>
    <w:qFormat/>
    <w:rsid w:val="00C93B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3B63"/>
    <w:rPr>
      <w:i/>
      <w:iCs/>
      <w:color w:val="0F4761" w:themeColor="accent1" w:themeShade="BF"/>
    </w:rPr>
  </w:style>
  <w:style w:type="character" w:styleId="IntenseReference">
    <w:name w:val="Intense Reference"/>
    <w:basedOn w:val="DefaultParagraphFont"/>
    <w:uiPriority w:val="32"/>
    <w:qFormat/>
    <w:rsid w:val="00C93B63"/>
    <w:rPr>
      <w:b/>
      <w:bCs/>
      <w:smallCaps/>
      <w:color w:val="0F4761" w:themeColor="accent1" w:themeShade="BF"/>
      <w:spacing w:val="5"/>
    </w:rPr>
  </w:style>
  <w:style w:type="paragraph" w:styleId="NormalWeb">
    <w:name w:val="Normal (Web)"/>
    <w:basedOn w:val="Normal"/>
    <w:uiPriority w:val="99"/>
    <w:semiHidden/>
    <w:unhideWhenUsed/>
    <w:rsid w:val="007B5411"/>
    <w:rPr>
      <w:rFonts w:ascii="Times New Roman" w:hAnsi="Times New Roman" w:cs="Times New Roman"/>
      <w:sz w:val="24"/>
      <w:szCs w:val="24"/>
    </w:rPr>
  </w:style>
  <w:style w:type="paragraph" w:styleId="Revision">
    <w:name w:val="Revision"/>
    <w:hidden/>
    <w:uiPriority w:val="99"/>
    <w:semiHidden/>
    <w:rsid w:val="007B127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1735964">
      <w:bodyDiv w:val="1"/>
      <w:marLeft w:val="0"/>
      <w:marRight w:val="0"/>
      <w:marTop w:val="0"/>
      <w:marBottom w:val="0"/>
      <w:divBdr>
        <w:top w:val="none" w:sz="0" w:space="0" w:color="auto"/>
        <w:left w:val="none" w:sz="0" w:space="0" w:color="auto"/>
        <w:bottom w:val="none" w:sz="0" w:space="0" w:color="auto"/>
        <w:right w:val="none" w:sz="0" w:space="0" w:color="auto"/>
      </w:divBdr>
    </w:div>
    <w:div w:id="525867058">
      <w:bodyDiv w:val="1"/>
      <w:marLeft w:val="0"/>
      <w:marRight w:val="0"/>
      <w:marTop w:val="0"/>
      <w:marBottom w:val="0"/>
      <w:divBdr>
        <w:top w:val="none" w:sz="0" w:space="0" w:color="auto"/>
        <w:left w:val="none" w:sz="0" w:space="0" w:color="auto"/>
        <w:bottom w:val="none" w:sz="0" w:space="0" w:color="auto"/>
        <w:right w:val="none" w:sz="0" w:space="0" w:color="auto"/>
      </w:divBdr>
    </w:div>
    <w:div w:id="699168055">
      <w:bodyDiv w:val="1"/>
      <w:marLeft w:val="0"/>
      <w:marRight w:val="0"/>
      <w:marTop w:val="0"/>
      <w:marBottom w:val="0"/>
      <w:divBdr>
        <w:top w:val="none" w:sz="0" w:space="0" w:color="auto"/>
        <w:left w:val="none" w:sz="0" w:space="0" w:color="auto"/>
        <w:bottom w:val="none" w:sz="0" w:space="0" w:color="auto"/>
        <w:right w:val="none" w:sz="0" w:space="0" w:color="auto"/>
      </w:divBdr>
    </w:div>
    <w:div w:id="1120150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2243</Words>
  <Characters>12787</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Benza</dc:creator>
  <cp:keywords/>
  <dc:description/>
  <cp:lastModifiedBy>Hazel Benza</cp:lastModifiedBy>
  <cp:revision>3</cp:revision>
  <dcterms:created xsi:type="dcterms:W3CDTF">2024-07-15T15:18:00Z</dcterms:created>
  <dcterms:modified xsi:type="dcterms:W3CDTF">2024-07-15T15:38:00Z</dcterms:modified>
</cp:coreProperties>
</file>